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0D1D" w14:textId="77777777" w:rsidR="00950A4A" w:rsidRPr="00804D68" w:rsidRDefault="00950A4A" w:rsidP="00804D68">
      <w:pPr>
        <w:pStyle w:val="DecHTitle"/>
      </w:pPr>
      <w:bookmarkStart w:id="0" w:name="_GoBack"/>
      <w:bookmarkEnd w:id="0"/>
    </w:p>
    <w:p w14:paraId="61BD2A6A" w14:textId="5A0606CF" w:rsidR="006544C4" w:rsidRPr="00804D68" w:rsidRDefault="00ED1A94" w:rsidP="00804D68">
      <w:pPr>
        <w:pStyle w:val="DecHTitle"/>
        <w:rPr>
          <w:sz w:val="4"/>
          <w:szCs w:val="4"/>
        </w:rPr>
      </w:pPr>
      <w:r w:rsidRPr="00804D68">
        <w:t>PREMIÈRE SECTION</w:t>
      </w:r>
    </w:p>
    <w:p w14:paraId="31110A09" w14:textId="77777777" w:rsidR="006544C4" w:rsidRPr="00804D68" w:rsidRDefault="006544C4" w:rsidP="00804D68">
      <w:pPr>
        <w:pStyle w:val="DecHTitle"/>
        <w:rPr>
          <w:caps/>
          <w:sz w:val="32"/>
        </w:rPr>
      </w:pPr>
      <w:r w:rsidRPr="00804D68">
        <w:t>DÉCISION</w:t>
      </w:r>
    </w:p>
    <w:p w14:paraId="75BAD9D3" w14:textId="5F4D57EE" w:rsidR="006544C4" w:rsidRPr="00804D68" w:rsidRDefault="00ED1A94" w:rsidP="00804D68">
      <w:pPr>
        <w:pStyle w:val="DecHCase"/>
      </w:pPr>
      <w:r w:rsidRPr="00804D68">
        <w:rPr>
          <w:noProof/>
        </w:rPr>
        <w:t>Requête n</w:t>
      </w:r>
      <w:r w:rsidRPr="00804D68">
        <w:rPr>
          <w:noProof/>
          <w:vertAlign w:val="superscript"/>
        </w:rPr>
        <w:t>o</w:t>
      </w:r>
      <w:r w:rsidR="006544C4" w:rsidRPr="00804D68">
        <w:t xml:space="preserve"> </w:t>
      </w:r>
      <w:r w:rsidRPr="00804D68">
        <w:t>59054/19</w:t>
      </w:r>
      <w:r w:rsidR="006544C4" w:rsidRPr="00804D68">
        <w:br/>
      </w:r>
      <w:r w:rsidRPr="00804D68">
        <w:rPr>
          <w:noProof/>
        </w:rPr>
        <w:t xml:space="preserve">MODANESE </w:t>
      </w:r>
      <w:r w:rsidR="006544C4" w:rsidRPr="00804D68">
        <w:t xml:space="preserve">contre </w:t>
      </w:r>
      <w:r w:rsidRPr="00804D68">
        <w:rPr>
          <w:noProof/>
        </w:rPr>
        <w:t>l’</w:t>
      </w:r>
      <w:r w:rsidRPr="00804D68">
        <w:t>Italie</w:t>
      </w:r>
      <w:r w:rsidRPr="00804D68">
        <w:rPr>
          <w:noProof/>
        </w:rPr>
        <w:br/>
        <w:t xml:space="preserve">et </w:t>
      </w:r>
      <w:r w:rsidR="00CC1F1D" w:rsidRPr="00804D68">
        <w:rPr>
          <w:noProof/>
        </w:rPr>
        <w:t>2</w:t>
      </w:r>
      <w:r w:rsidRPr="00804D68">
        <w:rPr>
          <w:noProof/>
        </w:rPr>
        <w:t xml:space="preserve"> autres requêtes</w:t>
      </w:r>
      <w:r w:rsidRPr="00804D68">
        <w:rPr>
          <w:noProof/>
        </w:rPr>
        <w:br/>
        <w:t>(voir liste en annexe)</w:t>
      </w:r>
    </w:p>
    <w:p w14:paraId="64139B0B" w14:textId="094732C6" w:rsidR="00ED1A94" w:rsidRPr="00804D68" w:rsidRDefault="00ED1A94" w:rsidP="00804D68">
      <w:pPr>
        <w:pStyle w:val="JuPara"/>
      </w:pPr>
      <w:r w:rsidRPr="00804D68">
        <w:t>La Cour européenne des droits de l’homme (première section), siégeant le</w:t>
      </w:r>
      <w:r w:rsidR="00455E51" w:rsidRPr="00804D68">
        <w:t xml:space="preserve"> 30 mai 2023</w:t>
      </w:r>
      <w:r w:rsidRPr="00804D68">
        <w:t xml:space="preserve"> en un comité composé de :</w:t>
      </w:r>
    </w:p>
    <w:p w14:paraId="5F2FE1CA" w14:textId="310C774A" w:rsidR="00ED1A94" w:rsidRPr="00804D68" w:rsidRDefault="00CC1F1D" w:rsidP="00804D68">
      <w:pPr>
        <w:pStyle w:val="JuJudges"/>
      </w:pPr>
      <w:r w:rsidRPr="00804D68">
        <w:tab/>
        <w:t>Péter Paczolay</w:t>
      </w:r>
      <w:r w:rsidRPr="00804D68">
        <w:rPr>
          <w:i/>
        </w:rPr>
        <w:t>, président</w:t>
      </w:r>
      <w:r w:rsidRPr="00804D68">
        <w:t>,</w:t>
      </w:r>
      <w:r w:rsidRPr="00804D68">
        <w:br/>
      </w:r>
      <w:r w:rsidRPr="00804D68">
        <w:tab/>
        <w:t>Gilberto Felici,</w:t>
      </w:r>
      <w:r w:rsidRPr="00804D68">
        <w:br/>
      </w:r>
      <w:r w:rsidRPr="00804D68">
        <w:tab/>
        <w:t>Raffaele Sabato</w:t>
      </w:r>
      <w:r w:rsidRPr="00804D68">
        <w:rPr>
          <w:i/>
        </w:rPr>
        <w:t>, juges</w:t>
      </w:r>
      <w:r w:rsidRPr="00804D68">
        <w:t>,</w:t>
      </w:r>
      <w:r w:rsidR="00ED1A94" w:rsidRPr="00804D68">
        <w:br/>
        <w:t xml:space="preserve">et de Liv Tigerstedt, </w:t>
      </w:r>
      <w:r w:rsidR="00ED1A94" w:rsidRPr="00804D68">
        <w:rPr>
          <w:i/>
        </w:rPr>
        <w:t>greffière adjointe</w:t>
      </w:r>
      <w:r w:rsidR="00ED1A94" w:rsidRPr="00804D68">
        <w:rPr>
          <w:iCs/>
        </w:rPr>
        <w:t xml:space="preserve"> </w:t>
      </w:r>
      <w:r w:rsidR="00ED1A94" w:rsidRPr="00804D68">
        <w:rPr>
          <w:i/>
          <w:iCs/>
        </w:rPr>
        <w:t>d</w:t>
      </w:r>
      <w:r w:rsidR="00ED1A94" w:rsidRPr="00804D68">
        <w:rPr>
          <w:i/>
        </w:rPr>
        <w:t>e section</w:t>
      </w:r>
      <w:r w:rsidR="00ED1A94" w:rsidRPr="00804D68">
        <w:t>,</w:t>
      </w:r>
    </w:p>
    <w:p w14:paraId="4AF5F8B2" w14:textId="77777777" w:rsidR="00ED1A94" w:rsidRPr="00804D68" w:rsidRDefault="00ED1A94" w:rsidP="00804D68">
      <w:pPr>
        <w:pStyle w:val="JuPara"/>
      </w:pPr>
      <w:r w:rsidRPr="00804D68">
        <w:t>Vu :</w:t>
      </w:r>
    </w:p>
    <w:p w14:paraId="5952973C" w14:textId="31480A43" w:rsidR="00ED1A94" w:rsidRPr="00804D68" w:rsidRDefault="00ED1A94" w:rsidP="00804D68">
      <w:pPr>
        <w:pStyle w:val="JuPara"/>
      </w:pPr>
      <w:r w:rsidRPr="00804D68">
        <w:t>les requêtes dirigées contre la République italienne et dont la Cour a été saisie en vertu de l’article 34 de la Convention de sauvegarde des droits de l’homme et des libertés fondamentales (« la Convention ») par les requérants dont les noms et renseignements figurent dans le tableau joint en annexe («</w:t>
      </w:r>
      <w:r w:rsidR="00C030B1" w:rsidRPr="00804D68">
        <w:t> </w:t>
      </w:r>
      <w:r w:rsidRPr="00804D68">
        <w:t>les</w:t>
      </w:r>
      <w:r w:rsidR="00C030B1" w:rsidRPr="00804D68">
        <w:t> </w:t>
      </w:r>
      <w:r w:rsidRPr="00804D68">
        <w:t>requérants</w:t>
      </w:r>
      <w:r w:rsidR="00C030B1" w:rsidRPr="00804D68">
        <w:t> </w:t>
      </w:r>
      <w:r w:rsidRPr="00804D68">
        <w:t>»), aux dates qui y sont indiquées,</w:t>
      </w:r>
    </w:p>
    <w:p w14:paraId="67D2F4A1" w14:textId="34269A10" w:rsidR="00ED1A94" w:rsidRPr="00804D68" w:rsidRDefault="00ED1A94" w:rsidP="00804D68">
      <w:pPr>
        <w:pStyle w:val="JuPara"/>
      </w:pPr>
      <w:r w:rsidRPr="00804D68">
        <w:t>la décision de ne pas dévoiler l’identité des requérants dans la requête n</w:t>
      </w:r>
      <w:r w:rsidRPr="00804D68">
        <w:rPr>
          <w:vertAlign w:val="superscript"/>
        </w:rPr>
        <w:t>o</w:t>
      </w:r>
      <w:r w:rsidR="00111526" w:rsidRPr="00804D68">
        <w:t> </w:t>
      </w:r>
      <w:r w:rsidRPr="00804D68">
        <w:t>45426/21,</w:t>
      </w:r>
    </w:p>
    <w:p w14:paraId="75491DC3" w14:textId="631FFC28" w:rsidR="00ED1A94" w:rsidRPr="00804D68" w:rsidRDefault="00ED1A94" w:rsidP="00804D68">
      <w:pPr>
        <w:pStyle w:val="JuPara"/>
      </w:pPr>
      <w:r w:rsidRPr="00804D68">
        <w:t>la décision de porter à la connaissance du gouvernement italien (« le</w:t>
      </w:r>
      <w:r w:rsidR="00111526" w:rsidRPr="00804D68">
        <w:t> </w:t>
      </w:r>
      <w:r w:rsidRPr="00804D68">
        <w:t>Gouvernement »), représenté par son agent, L. D’Ascia, avocat d’État,</w:t>
      </w:r>
      <w:r w:rsidR="00C030B1" w:rsidRPr="00804D68">
        <w:t xml:space="preserve"> </w:t>
      </w:r>
      <w:r w:rsidRPr="00804D68">
        <w:t>les griefs tirés des articles 8 et 14 de la Convention et de déclarer irrecevable pour le surplus la requête n</w:t>
      </w:r>
      <w:r w:rsidRPr="00804D68">
        <w:rPr>
          <w:vertAlign w:val="superscript"/>
        </w:rPr>
        <w:t>o</w:t>
      </w:r>
      <w:r w:rsidRPr="00804D68">
        <w:t xml:space="preserve"> 59054/19,</w:t>
      </w:r>
    </w:p>
    <w:p w14:paraId="1107B874" w14:textId="77777777" w:rsidR="00ED1A94" w:rsidRPr="00804D68" w:rsidRDefault="00ED1A94" w:rsidP="00804D68">
      <w:pPr>
        <w:pStyle w:val="JuPara"/>
      </w:pPr>
      <w:r w:rsidRPr="00804D68">
        <w:t>les observations communiquées par le gouvernement défendeur et celles communiquées en réplique par les requérants ;</w:t>
      </w:r>
    </w:p>
    <w:p w14:paraId="703C024B" w14:textId="73B0553C" w:rsidR="00ED1A94" w:rsidRPr="00804D68" w:rsidRDefault="00ED1A94" w:rsidP="00804D68">
      <w:pPr>
        <w:pStyle w:val="JuPara"/>
      </w:pPr>
      <w:r w:rsidRPr="00804D68">
        <w:t>la décision du gouvernement bulgare de ne pas user de son droit d’intervenir dans la procédure (article 36 § 1 de la Convention) ;</w:t>
      </w:r>
    </w:p>
    <w:p w14:paraId="4930F460" w14:textId="77777777" w:rsidR="00ED1A94" w:rsidRPr="00804D68" w:rsidRDefault="00ED1A94" w:rsidP="00804D68">
      <w:pPr>
        <w:pStyle w:val="JuPara"/>
      </w:pPr>
      <w:r w:rsidRPr="00804D68">
        <w:t xml:space="preserve">les observations communiquées par les organisations </w:t>
      </w:r>
      <w:r w:rsidRPr="00804D68">
        <w:rPr>
          <w:i/>
          <w:iCs/>
        </w:rPr>
        <w:t>Ordo Iuris</w:t>
      </w:r>
      <w:r w:rsidRPr="00804D68">
        <w:t xml:space="preserve"> et </w:t>
      </w:r>
      <w:proofErr w:type="spellStart"/>
      <w:r w:rsidRPr="00804D68">
        <w:rPr>
          <w:i/>
          <w:iCs/>
        </w:rPr>
        <w:t>Unione</w:t>
      </w:r>
      <w:proofErr w:type="spellEnd"/>
      <w:r w:rsidRPr="00804D68">
        <w:rPr>
          <w:i/>
          <w:iCs/>
        </w:rPr>
        <w:t xml:space="preserve"> </w:t>
      </w:r>
      <w:proofErr w:type="spellStart"/>
      <w:r w:rsidRPr="00804D68">
        <w:rPr>
          <w:i/>
          <w:iCs/>
        </w:rPr>
        <w:t>forense</w:t>
      </w:r>
      <w:proofErr w:type="spellEnd"/>
      <w:r w:rsidRPr="00804D68">
        <w:rPr>
          <w:i/>
          <w:iCs/>
        </w:rPr>
        <w:t xml:space="preserve"> per la </w:t>
      </w:r>
      <w:proofErr w:type="spellStart"/>
      <w:r w:rsidRPr="00804D68">
        <w:rPr>
          <w:i/>
          <w:iCs/>
        </w:rPr>
        <w:t>tutela</w:t>
      </w:r>
      <w:proofErr w:type="spellEnd"/>
      <w:r w:rsidRPr="00804D68">
        <w:rPr>
          <w:i/>
          <w:iCs/>
        </w:rPr>
        <w:t xml:space="preserve"> dei </w:t>
      </w:r>
      <w:proofErr w:type="spellStart"/>
      <w:r w:rsidRPr="00804D68">
        <w:rPr>
          <w:i/>
          <w:iCs/>
        </w:rPr>
        <w:t>diritti</w:t>
      </w:r>
      <w:proofErr w:type="spellEnd"/>
      <w:r w:rsidRPr="00804D68">
        <w:rPr>
          <w:i/>
          <w:iCs/>
        </w:rPr>
        <w:t xml:space="preserve"> </w:t>
      </w:r>
      <w:proofErr w:type="spellStart"/>
      <w:r w:rsidRPr="00804D68">
        <w:rPr>
          <w:i/>
          <w:iCs/>
        </w:rPr>
        <w:t>umani</w:t>
      </w:r>
      <w:proofErr w:type="spellEnd"/>
      <w:r w:rsidRPr="00804D68">
        <w:t>, que le président de la section avait autorisées à se porter tierces intervenantes (article 36 § 2 de la Convention) ;</w:t>
      </w:r>
    </w:p>
    <w:p w14:paraId="761BEDE6" w14:textId="77777777" w:rsidR="00ED1A94" w:rsidRPr="00804D68" w:rsidRDefault="00ED1A94" w:rsidP="00804D68">
      <w:pPr>
        <w:pStyle w:val="JuPara"/>
      </w:pPr>
      <w:r w:rsidRPr="00804D68">
        <w:t>Après en avoir délibéré, rend la décision suivante :</w:t>
      </w:r>
    </w:p>
    <w:p w14:paraId="28828765" w14:textId="24483C4E" w:rsidR="00ED1A94" w:rsidRPr="00804D68" w:rsidRDefault="00ED1A94" w:rsidP="00804D68">
      <w:pPr>
        <w:pStyle w:val="JuHHead"/>
      </w:pPr>
      <w:r w:rsidRPr="00804D68">
        <w:lastRenderedPageBreak/>
        <w:t>OBJET DE l’AFFAIRE</w:t>
      </w:r>
    </w:p>
    <w:p w14:paraId="3290E477" w14:textId="31652CD4"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w:t>
      </w:r>
      <w:r>
        <w:rPr>
          <w:noProof/>
        </w:rPr>
        <w:fldChar w:fldCharType="end"/>
      </w:r>
      <w:r w:rsidR="00ED1A94" w:rsidRPr="00804D68">
        <w:t>.  Les présentes requêtes concernent le refus des autorités italiennes de reconnaître des actes de naissance délivrés en Californie et au Canada pour des enfants qui y étaient nés d’une gestation pour autrui (« GPA ») pour autant que ces actes établissaient un lien de filiation à l’égard des pères d’intention, le second parent, à savoir les pères biologiques respectifs des enfants en question, étant quant à lui reconnu. Les requérants invoquent l’article 8 de la Convention, ainsi que l’article 14 combiné avec l’article</w:t>
      </w:r>
      <w:r w:rsidR="00C030B1" w:rsidRPr="00804D68">
        <w:t xml:space="preserve"> </w:t>
      </w:r>
      <w:r w:rsidR="00ED1A94" w:rsidRPr="00804D68">
        <w:t>8.</w:t>
      </w:r>
    </w:p>
    <w:p w14:paraId="7B997A99" w14:textId="29E595C9"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2</w:t>
      </w:r>
      <w:r>
        <w:rPr>
          <w:noProof/>
        </w:rPr>
        <w:fldChar w:fldCharType="end"/>
      </w:r>
      <w:r w:rsidR="00ED1A94" w:rsidRPr="00804D68">
        <w:t>.  La liste des requérants et les précisions pertinentes sur les requêtes figurent dans le tableau joint en annexe.</w:t>
      </w:r>
    </w:p>
    <w:p w14:paraId="4A0149D3" w14:textId="77777777" w:rsidR="00ED1A94" w:rsidRPr="00804D68" w:rsidRDefault="00ED1A94" w:rsidP="00804D68">
      <w:pPr>
        <w:pStyle w:val="JuHHead"/>
      </w:pPr>
      <w:r w:rsidRPr="00804D68">
        <w:t>APPRÉCIATION DE LA COUR</w:t>
      </w:r>
    </w:p>
    <w:p w14:paraId="2E7A0270" w14:textId="5C6441F3"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3</w:t>
      </w:r>
      <w:r>
        <w:rPr>
          <w:noProof/>
        </w:rPr>
        <w:fldChar w:fldCharType="end"/>
      </w:r>
      <w:r w:rsidR="00ED1A94" w:rsidRPr="00804D68">
        <w:t>.  Eu égard à la similarité de l’objet des requêtes, la Cour juge approprié de les examiner conjointement dans une seule décision.</w:t>
      </w:r>
    </w:p>
    <w:p w14:paraId="19BC53EA" w14:textId="491D7F82"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4</w:t>
      </w:r>
      <w:r>
        <w:rPr>
          <w:noProof/>
        </w:rPr>
        <w:fldChar w:fldCharType="end"/>
      </w:r>
      <w:r w:rsidR="00ED1A94" w:rsidRPr="00804D68">
        <w:t>.  Les requérants voient dans le refus de reconnaître un lien de filiation entre les parents d’intention et les enfants une violation de leur droit au respect de leur vie privée et familiale. Ils estiment, en outre, que la possibilité d’engager une procédure d’adoption plutôt que de voir reconnaître l’acte de naissance des enfants concernés ne saurait être considérée comme apte à remédier à une telle atteinte.</w:t>
      </w:r>
    </w:p>
    <w:p w14:paraId="68EBE796" w14:textId="651FF9F5" w:rsidR="00ED1A94" w:rsidRPr="00804D68" w:rsidRDefault="00521C24" w:rsidP="00804D68">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r w:rsidR="00804D68" w:rsidRPr="00804D68">
        <w:rPr>
          <w:noProof/>
        </w:rPr>
        <w:t>5</w:t>
      </w:r>
      <w:r>
        <w:rPr>
          <w:noProof/>
        </w:rPr>
        <w:fldChar w:fldCharType="end"/>
      </w:r>
      <w:r w:rsidR="00ED1A94" w:rsidRPr="00804D68">
        <w:t>.  La Cour observe que le Gouvernement ne conteste pas que le grief des requérants relève du champ d’application de l’article</w:t>
      </w:r>
      <w:r w:rsidR="00C030B1" w:rsidRPr="00804D68">
        <w:t xml:space="preserve"> </w:t>
      </w:r>
      <w:r w:rsidR="00ED1A94" w:rsidRPr="00804D68">
        <w:t>8 de la Convention.</w:t>
      </w:r>
    </w:p>
    <w:p w14:paraId="3D204C72" w14:textId="63F29B58"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6</w:t>
      </w:r>
      <w:r>
        <w:rPr>
          <w:noProof/>
        </w:rPr>
        <w:fldChar w:fldCharType="end"/>
      </w:r>
      <w:r w:rsidR="00ED1A94" w:rsidRPr="00804D68">
        <w:t>.  La Cour rappelle d’emblée que le respect de la vie privée exige que chaque enfant puisse établir les détails de son identité d’être humain, ce qui inclut sa filiation (</w:t>
      </w:r>
      <w:r w:rsidR="00ED1A94" w:rsidRPr="00804D68">
        <w:rPr>
          <w:i/>
          <w:iCs/>
        </w:rPr>
        <w:t>Mennesson c. France</w:t>
      </w:r>
      <w:r w:rsidR="00ED1A94" w:rsidRPr="00804D68">
        <w:t>, n</w:t>
      </w:r>
      <w:r w:rsidR="00ED1A94" w:rsidRPr="00804D68">
        <w:rPr>
          <w:vertAlign w:val="superscript"/>
        </w:rPr>
        <w:t>o</w:t>
      </w:r>
      <w:r w:rsidR="00C030B1" w:rsidRPr="00804D68">
        <w:t xml:space="preserve"> </w:t>
      </w:r>
      <w:r w:rsidR="00ED1A94" w:rsidRPr="00804D68">
        <w:t>65192/11, §§ 46 et 96, CEDH 2014).</w:t>
      </w:r>
    </w:p>
    <w:p w14:paraId="1B217AEC" w14:textId="5ED61BB2"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7</w:t>
      </w:r>
      <w:r>
        <w:rPr>
          <w:noProof/>
        </w:rPr>
        <w:fldChar w:fldCharType="end"/>
      </w:r>
      <w:r w:rsidR="00ED1A94" w:rsidRPr="00804D68">
        <w:t>.  La Cour précise par ailleurs qu’il suffit pour qu’entre en jeu l’article 8 sous son volet relatif à la vie familiale que les parents d’intention s’occupent depuis sa naissance, comme le feraient des parents biologiques, d’un enfant né d’une GPA et qu’enfants et parents vivent ensemble d’une manière qui ne se distingue en rien de la «</w:t>
      </w:r>
      <w:r w:rsidR="00C030B1" w:rsidRPr="00804D68">
        <w:t> </w:t>
      </w:r>
      <w:r w:rsidR="00ED1A94" w:rsidRPr="00804D68">
        <w:t>vie familiale</w:t>
      </w:r>
      <w:r w:rsidR="00C030B1" w:rsidRPr="00804D68">
        <w:t> </w:t>
      </w:r>
      <w:r w:rsidR="00ED1A94" w:rsidRPr="00804D68">
        <w:t>» dans son acception habituelle (</w:t>
      </w:r>
      <w:r w:rsidR="00ED1A94" w:rsidRPr="00804D68">
        <w:rPr>
          <w:i/>
          <w:iCs/>
        </w:rPr>
        <w:t>Mennesson</w:t>
      </w:r>
      <w:r w:rsidR="00ED1A94" w:rsidRPr="00804D68">
        <w:t>, précité, § 44).</w:t>
      </w:r>
    </w:p>
    <w:p w14:paraId="6E756A7A" w14:textId="25DE7E9B"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8</w:t>
      </w:r>
      <w:r>
        <w:rPr>
          <w:noProof/>
        </w:rPr>
        <w:fldChar w:fldCharType="end"/>
      </w:r>
      <w:r w:rsidR="00ED1A94" w:rsidRPr="00804D68">
        <w:t>.  La Cour conclut de ce qui précède que l’article</w:t>
      </w:r>
      <w:r w:rsidR="00C030B1" w:rsidRPr="00804D68">
        <w:t xml:space="preserve"> </w:t>
      </w:r>
      <w:r w:rsidR="00ED1A94" w:rsidRPr="00804D68">
        <w:t>8 de la Convention est applicable au grief des requérants aussi bien au titre de la vie privée qu’au titre de la vie familiale.</w:t>
      </w:r>
    </w:p>
    <w:p w14:paraId="2982B3BF" w14:textId="7155365D"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9</w:t>
      </w:r>
      <w:r>
        <w:rPr>
          <w:noProof/>
        </w:rPr>
        <w:fldChar w:fldCharType="end"/>
      </w:r>
      <w:r w:rsidR="00ED1A94" w:rsidRPr="00804D68">
        <w:t>.  La Cour estime, en outre, qu’il n’y a pas de doute quant à l’existence d’une ingérence dans l’exercice par les requérants de leur droit au respect de la vie privée et de la vie familiale. L’ingérence en cause visait deux des buts légitimes énumérés au second paragraphe de l’article</w:t>
      </w:r>
      <w:r w:rsidR="00C030B1" w:rsidRPr="00804D68">
        <w:t xml:space="preserve"> </w:t>
      </w:r>
      <w:r w:rsidR="00ED1A94" w:rsidRPr="00804D68">
        <w:t>8 de la Convention : la protection de la santé et la protection des droits et libertés d’autrui.</w:t>
      </w:r>
    </w:p>
    <w:p w14:paraId="16366FBF" w14:textId="5FCAE97F"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10</w:t>
      </w:r>
      <w:r>
        <w:rPr>
          <w:noProof/>
        </w:rPr>
        <w:fldChar w:fldCharType="end"/>
      </w:r>
      <w:r w:rsidR="00ED1A94" w:rsidRPr="00804D68">
        <w:t>.  Il reste à déterminer si cette ingérence était nécessaire dans une société démocratique pour atteindre ces buts, la notion de «</w:t>
      </w:r>
      <w:r w:rsidR="00C030B1" w:rsidRPr="00804D68">
        <w:t> </w:t>
      </w:r>
      <w:r w:rsidR="00ED1A94" w:rsidRPr="00804D68">
        <w:t>nécessité</w:t>
      </w:r>
      <w:r w:rsidR="00C030B1" w:rsidRPr="00804D68">
        <w:t> </w:t>
      </w:r>
      <w:r w:rsidR="00ED1A94" w:rsidRPr="00804D68">
        <w:t xml:space="preserve">» impliquant </w:t>
      </w:r>
      <w:r w:rsidR="00ED1A94" w:rsidRPr="00804D68">
        <w:lastRenderedPageBreak/>
        <w:t>une ingérence fondée sur un besoin social impérieux et, notamment, proportionnée au but légitime poursuivi.</w:t>
      </w:r>
    </w:p>
    <w:p w14:paraId="41699F32" w14:textId="68A5A99D"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11</w:t>
      </w:r>
      <w:r>
        <w:rPr>
          <w:noProof/>
        </w:rPr>
        <w:fldChar w:fldCharType="end"/>
      </w:r>
      <w:r w:rsidR="00ED1A94" w:rsidRPr="00804D68">
        <w:t>.  La Cour estime que les circonstances des affaires conjointement examinées en l’espèce sont semblables à celles de l’affaire</w:t>
      </w:r>
      <w:r w:rsidR="00ED1A94" w:rsidRPr="00804D68">
        <w:rPr>
          <w:rFonts w:ascii="Times New Roman" w:eastAsia="Times New Roman" w:hAnsi="Times New Roman" w:cs="Times New Roman"/>
          <w:i/>
          <w:iCs/>
          <w:lang w:eastAsia="fr-FR"/>
        </w:rPr>
        <w:t xml:space="preserve"> </w:t>
      </w:r>
      <w:r w:rsidR="00ED1A94" w:rsidRPr="00804D68">
        <w:rPr>
          <w:i/>
          <w:iCs/>
        </w:rPr>
        <w:t>D.B. et autres c. Suisse</w:t>
      </w:r>
      <w:r w:rsidR="00ED1A94" w:rsidRPr="00804D68">
        <w:t xml:space="preserve"> ( n</w:t>
      </w:r>
      <w:r w:rsidR="00ED1A94" w:rsidRPr="00804D68">
        <w:rPr>
          <w:vertAlign w:val="superscript"/>
        </w:rPr>
        <w:t>os</w:t>
      </w:r>
      <w:r w:rsidR="00C030B1" w:rsidRPr="00804D68">
        <w:t xml:space="preserve"> </w:t>
      </w:r>
      <w:r w:rsidR="00ED1A94" w:rsidRPr="00804D68">
        <w:t>58817/15 et 58252/15, §§ 76-83, 22</w:t>
      </w:r>
      <w:r w:rsidR="00C030B1" w:rsidRPr="00804D68">
        <w:t xml:space="preserve"> </w:t>
      </w:r>
      <w:r w:rsidR="00ED1A94" w:rsidRPr="00804D68">
        <w:t xml:space="preserve">novembre 2022) et elle constate que les principes élaborés d’une part dans les affaires </w:t>
      </w:r>
      <w:r w:rsidR="00ED1A94" w:rsidRPr="00804D68">
        <w:rPr>
          <w:i/>
          <w:iCs/>
        </w:rPr>
        <w:t>Mennesson</w:t>
      </w:r>
      <w:r w:rsidR="00ED1A94" w:rsidRPr="00804D68">
        <w:t xml:space="preserve"> (précitée) et </w:t>
      </w:r>
      <w:proofErr w:type="spellStart"/>
      <w:r w:rsidR="00ED1A94" w:rsidRPr="00804D68">
        <w:rPr>
          <w:i/>
          <w:iCs/>
        </w:rPr>
        <w:t>Labassee</w:t>
      </w:r>
      <w:proofErr w:type="spellEnd"/>
      <w:r w:rsidR="00ED1A94" w:rsidRPr="00804D68">
        <w:rPr>
          <w:i/>
          <w:iCs/>
        </w:rPr>
        <w:t xml:space="preserve"> c. France</w:t>
      </w:r>
      <w:r w:rsidR="00ED1A94" w:rsidRPr="00804D68">
        <w:t xml:space="preserve"> (n</w:t>
      </w:r>
      <w:r w:rsidR="00ED1A94" w:rsidRPr="00804D68">
        <w:rPr>
          <w:vertAlign w:val="superscript"/>
        </w:rPr>
        <w:t>o</w:t>
      </w:r>
      <w:r w:rsidR="00C030B1" w:rsidRPr="00804D68">
        <w:t xml:space="preserve"> </w:t>
      </w:r>
      <w:r w:rsidR="00ED1A94" w:rsidRPr="00804D68">
        <w:t>65941/11, 26</w:t>
      </w:r>
      <w:r w:rsidR="00C030B1" w:rsidRPr="00804D68">
        <w:t xml:space="preserve"> </w:t>
      </w:r>
      <w:r w:rsidR="00ED1A94" w:rsidRPr="00804D68">
        <w:t>juin 2014), d’autre part dans l’</w:t>
      </w:r>
      <w:r w:rsidR="00ED1A94" w:rsidRPr="00804D68">
        <w:rPr>
          <w:i/>
          <w:iCs/>
        </w:rPr>
        <w:t xml:space="preserve">avis consultatif relatif à la reconnaissance en droit interne d’un lien de filiation entre un enfant né d’une gestation pour autrui pratiquée à l’étranger et la mère d’intention </w:t>
      </w:r>
      <w:r w:rsidR="00ED1A94" w:rsidRPr="00804D68">
        <w:t>[GC]</w:t>
      </w:r>
      <w:r w:rsidR="00ED1A94" w:rsidRPr="00804D68">
        <w:rPr>
          <w:i/>
          <w:iCs/>
        </w:rPr>
        <w:t xml:space="preserve"> </w:t>
      </w:r>
      <w:r w:rsidR="00ED1A94" w:rsidRPr="00804D68">
        <w:t>(demande n</w:t>
      </w:r>
      <w:r w:rsidR="00ED1A94" w:rsidRPr="00804D68">
        <w:rPr>
          <w:vertAlign w:val="superscript"/>
        </w:rPr>
        <w:t>o</w:t>
      </w:r>
      <w:r w:rsidR="00ED1A94" w:rsidRPr="00804D68">
        <w:t> P16-2018-001, Cour de cassation française, 10</w:t>
      </w:r>
      <w:r w:rsidR="00C030B1" w:rsidRPr="00804D68">
        <w:t xml:space="preserve"> </w:t>
      </w:r>
      <w:r w:rsidR="00ED1A94" w:rsidRPr="00804D68">
        <w:t>avril 2019), et enfin dans l’affaire</w:t>
      </w:r>
      <w:r w:rsidR="00ED1A94" w:rsidRPr="00804D68">
        <w:rPr>
          <w:rFonts w:ascii="Times New Roman" w:eastAsia="Times New Roman" w:hAnsi="Times New Roman" w:cs="Times New Roman"/>
          <w:i/>
          <w:iCs/>
          <w:lang w:eastAsia="fr-FR"/>
        </w:rPr>
        <w:t xml:space="preserve"> </w:t>
      </w:r>
      <w:r w:rsidR="00ED1A94" w:rsidRPr="00804D68">
        <w:rPr>
          <w:i/>
          <w:iCs/>
        </w:rPr>
        <w:t>D c. France</w:t>
      </w:r>
      <w:r w:rsidR="00ED1A94" w:rsidRPr="00804D68">
        <w:t xml:space="preserve"> (n</w:t>
      </w:r>
      <w:r w:rsidR="00ED1A94" w:rsidRPr="00804D68">
        <w:rPr>
          <w:vertAlign w:val="superscript"/>
        </w:rPr>
        <w:t>o</w:t>
      </w:r>
      <w:r w:rsidR="00ED1A94" w:rsidRPr="00804D68">
        <w:t> 11288/18, 16</w:t>
      </w:r>
      <w:r w:rsidR="00C030B1" w:rsidRPr="00804D68">
        <w:t xml:space="preserve"> </w:t>
      </w:r>
      <w:r w:rsidR="00ED1A94" w:rsidRPr="00804D68">
        <w:t>juillet 2020), s’appliquent au cas d’espèce et plus précisément à la question du lien de filiation entre les pères d’intention et les enfants.</w:t>
      </w:r>
    </w:p>
    <w:p w14:paraId="0C0D0C78" w14:textId="5C062FD5"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bookmarkStart w:id="1" w:name="paragraph00012"/>
      <w:r w:rsidR="00804D68" w:rsidRPr="00804D68">
        <w:rPr>
          <w:noProof/>
        </w:rPr>
        <w:t>12</w:t>
      </w:r>
      <w:bookmarkEnd w:id="1"/>
      <w:r>
        <w:rPr>
          <w:noProof/>
        </w:rPr>
        <w:fldChar w:fldCharType="end"/>
      </w:r>
      <w:r w:rsidR="00ED1A94" w:rsidRPr="00804D68">
        <w:t xml:space="preserve">.  La Cour rappelle d’emblée que l’intérêt supérieur de l’enfant comprend </w:t>
      </w:r>
      <w:r w:rsidR="00ED1A94" w:rsidRPr="00804D68">
        <w:rPr>
          <w:i/>
          <w:iCs/>
        </w:rPr>
        <w:t>inter alia</w:t>
      </w:r>
      <w:r w:rsidR="00ED1A94" w:rsidRPr="00804D68">
        <w:t xml:space="preserve"> l’identification en droit des personnes qui ont la responsabilité de l’élever, de pourvoir à ses besoins et d’assurer son bien‑être, ainsi que la possibilité de vivre et d’évoluer dans un milieu stable (avis consultatif n</w:t>
      </w:r>
      <w:r w:rsidR="00ED1A94" w:rsidRPr="00804D68">
        <w:rPr>
          <w:vertAlign w:val="superscript"/>
        </w:rPr>
        <w:t>o</w:t>
      </w:r>
      <w:r w:rsidR="00ED1A94" w:rsidRPr="00804D68">
        <w:t xml:space="preserve"> P16-2018-001, précité, § 42). Pour cette raison, le respect de la vie privée de l’enfant requiert que le droit interne offre une possibilité de reconnaissance d’un lien de filiation entre l’enfant et le parent d’intention (</w:t>
      </w:r>
      <w:r w:rsidR="00ED1A94" w:rsidRPr="00804D68">
        <w:rPr>
          <w:i/>
          <w:iCs/>
        </w:rPr>
        <w:t>ibidem</w:t>
      </w:r>
      <w:r w:rsidR="00ED1A94" w:rsidRPr="00804D68">
        <w:t>, dispositif, § 1). Dès lors, la marge d’appréciation des États est limitée en ce qui concerne le principe même de l’établissement ou de la reconnaissance de la filiation (</w:t>
      </w:r>
      <w:r w:rsidR="00ED1A94" w:rsidRPr="00804D68">
        <w:rPr>
          <w:i/>
          <w:iCs/>
        </w:rPr>
        <w:t>ibidem</w:t>
      </w:r>
      <w:r w:rsidR="00ED1A94" w:rsidRPr="00804D68">
        <w:t>, §§ 44-46). La Cour estime également que l’intérêt de l’enfant ne peut pas dépendre de la seule orientation sexuelle des parents. Elle rappelle en revanche que si le principe même de l’établissement ou de la reconnaissance de la filiation ne laisse aux États qu’une marge d’appréciation limitée, cette marge est plus grande en ce qui concerne les moyens à mettre en œuvre à cette fin (</w:t>
      </w:r>
      <w:r w:rsidR="00ED1A94" w:rsidRPr="00804D68">
        <w:rPr>
          <w:i/>
          <w:iCs/>
        </w:rPr>
        <w:t>ibidem</w:t>
      </w:r>
      <w:r w:rsidR="00ED1A94" w:rsidRPr="00804D68">
        <w:t>, § 51).</w:t>
      </w:r>
    </w:p>
    <w:p w14:paraId="6BA4201F" w14:textId="7E29931C"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13</w:t>
      </w:r>
      <w:r>
        <w:rPr>
          <w:noProof/>
        </w:rPr>
        <w:fldChar w:fldCharType="end"/>
      </w:r>
      <w:r w:rsidR="00ED1A94" w:rsidRPr="00804D68">
        <w:t>.  La Cour note que le système juridique italien interdit comme contraire à l’ordre public la transcription du lien de filiation établi par un acte de naissance étranger entre un enfant né d’une GPA et un parent d’intention. Elle se réfère à cet égard, en particulier, à l’arrêt n</w:t>
      </w:r>
      <w:r w:rsidR="00ED1A94" w:rsidRPr="00804D68">
        <w:rPr>
          <w:vertAlign w:val="superscript"/>
        </w:rPr>
        <w:t>o</w:t>
      </w:r>
      <w:r w:rsidR="00ED1A94" w:rsidRPr="00804D68">
        <w:t> 12193 du 8</w:t>
      </w:r>
      <w:r w:rsidR="00C030B1" w:rsidRPr="00804D68">
        <w:t xml:space="preserve"> </w:t>
      </w:r>
      <w:r w:rsidR="00ED1A94" w:rsidRPr="00804D68">
        <w:t>mai 2019 de l’Assemblée plénière (</w:t>
      </w:r>
      <w:proofErr w:type="spellStart"/>
      <w:r w:rsidR="00ED1A94" w:rsidRPr="00804D68">
        <w:rPr>
          <w:i/>
          <w:iCs/>
        </w:rPr>
        <w:t>Sezioni</w:t>
      </w:r>
      <w:proofErr w:type="spellEnd"/>
      <w:r w:rsidR="00ED1A94" w:rsidRPr="00804D68">
        <w:rPr>
          <w:i/>
          <w:iCs/>
        </w:rPr>
        <w:t xml:space="preserve"> </w:t>
      </w:r>
      <w:proofErr w:type="spellStart"/>
      <w:r w:rsidR="00ED1A94" w:rsidRPr="00804D68">
        <w:rPr>
          <w:i/>
          <w:iCs/>
        </w:rPr>
        <w:t>Unite</w:t>
      </w:r>
      <w:proofErr w:type="spellEnd"/>
      <w:r w:rsidR="00ED1A94" w:rsidRPr="00804D68">
        <w:t>) de la Cour de cassation réaffirmant le principe selon lequel une ordonnance par laquelle un tribunal étranger reconnaît un lien de filiation entre un enfant né à l’étranger par GPA et une personne qui n’a aucun lien biologique avec celui-ci ne peut pas être transcrite sur les registres de l’état civil italien. Toutefois, la Haute juridiction a déclaré que les valeurs protégées par l’interdiction en question n’excluent pas la possibilité de reconnaître la relation parentale au moyen d’autres instruments prévus par l’ordre juridique, comme l’adoption dans des cas particuliers (article 44, § 1, lettre</w:t>
      </w:r>
      <w:r w:rsidR="00C030B1" w:rsidRPr="00804D68">
        <w:t xml:space="preserve"> </w:t>
      </w:r>
      <w:r w:rsidR="00ED1A94" w:rsidRPr="00804D68">
        <w:t>d) de la loi n</w:t>
      </w:r>
      <w:r w:rsidR="00ED1A94" w:rsidRPr="00804D68">
        <w:rPr>
          <w:vertAlign w:val="superscript"/>
        </w:rPr>
        <w:t>o</w:t>
      </w:r>
      <w:r w:rsidR="00ED1A94" w:rsidRPr="00804D68">
        <w:t> 184 de 1983).</w:t>
      </w:r>
    </w:p>
    <w:p w14:paraId="12713EE0" w14:textId="3AFACE34"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14</w:t>
      </w:r>
      <w:r>
        <w:rPr>
          <w:noProof/>
        </w:rPr>
        <w:fldChar w:fldCharType="end"/>
      </w:r>
      <w:r w:rsidR="00ED1A94" w:rsidRPr="00804D68">
        <w:t>.  La Cour relève également que la Cour constitutionnelle italienne, examinant dans son arrêt n</w:t>
      </w:r>
      <w:r w:rsidR="00ED1A94" w:rsidRPr="00804D68">
        <w:rPr>
          <w:vertAlign w:val="superscript"/>
        </w:rPr>
        <w:t>o</w:t>
      </w:r>
      <w:r w:rsidR="00ED1A94" w:rsidRPr="00804D68">
        <w:t xml:space="preserve"> 33 de 2021 des questions de constitutionnalité </w:t>
      </w:r>
      <w:r w:rsidR="00ED1A94" w:rsidRPr="00804D68">
        <w:lastRenderedPageBreak/>
        <w:t>relatives à l’état civil des enfants nés par GPA (pratique interdite par la loi italienne et en particulier par l’article</w:t>
      </w:r>
      <w:r w:rsidR="00C030B1" w:rsidRPr="00804D68">
        <w:t xml:space="preserve"> </w:t>
      </w:r>
      <w:r w:rsidR="00ED1A94" w:rsidRPr="00804D68">
        <w:t>12, § 6, de la loi n</w:t>
      </w:r>
      <w:r w:rsidR="00ED1A94" w:rsidRPr="00804D68">
        <w:rPr>
          <w:vertAlign w:val="superscript"/>
        </w:rPr>
        <w:t>o</w:t>
      </w:r>
      <w:r w:rsidR="00ED1A94" w:rsidRPr="00804D68">
        <w:t> 40 de 2004), a rappelé la nécessité pour les autorités de reconnaître les liens du mineur avec sa famille afin que ce dernier puisse être légalement identifié comme membre de la famille dans laquelle il vit. La Cour constitutionnelle a précisé que ce n’était pas en l’occurrence le droit à la parentalité des personnes qui s’occupent de l’enfant qui était en jeu, mais l’intérêt de l’enfant, et elle a estimé que cet intérêt devait être mis en balance avec l’objectif légitime du système juridique, qui est de décourager le recours à la GPA, lequel est puni par le droit pénal.</w:t>
      </w:r>
    </w:p>
    <w:p w14:paraId="1D85C35C" w14:textId="70B8CBD0"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15</w:t>
      </w:r>
      <w:r>
        <w:rPr>
          <w:noProof/>
        </w:rPr>
        <w:fldChar w:fldCharType="end"/>
      </w:r>
      <w:r w:rsidR="00ED1A94" w:rsidRPr="00804D68">
        <w:t>.  La Cour Constitutionnelle a également exprimé l’espoir que le législateur trouve une solution qui tienne compte de tous les droits et intérêts en jeu, en adaptant la loi existante à la nécessité de protéger les enfants nés par GPA, c’est-à-dire en réglementant le cas échéant l’adoption d’une manière plus conforme aux particularités de la situation en question.</w:t>
      </w:r>
    </w:p>
    <w:p w14:paraId="2FA46BCD" w14:textId="2CA30527"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16</w:t>
      </w:r>
      <w:r>
        <w:rPr>
          <w:noProof/>
        </w:rPr>
        <w:fldChar w:fldCharType="end"/>
      </w:r>
      <w:r w:rsidR="00ED1A94" w:rsidRPr="00804D68">
        <w:t>.  La Cour note également que le 24</w:t>
      </w:r>
      <w:r w:rsidR="00427C1A" w:rsidRPr="00804D68">
        <w:t xml:space="preserve"> </w:t>
      </w:r>
      <w:r w:rsidR="00ED1A94" w:rsidRPr="00804D68">
        <w:t>février 2022, la Cour constitutionnelle a déclaré inconstitutionnelles les dispositions relatives à l’adoption « dans des cas particuliers » pour autant qu’elles excluaient que fût créé entre l’adopté et les parents de l’adoptant</w:t>
      </w:r>
      <w:r w:rsidR="00ED1A94" w:rsidRPr="00804D68" w:rsidDel="0086393B">
        <w:t xml:space="preserve"> </w:t>
      </w:r>
      <w:r w:rsidR="00ED1A94" w:rsidRPr="00804D68">
        <w:t>le même lien de parenté que celui qu’établissaient les autres types d’adoption.</w:t>
      </w:r>
    </w:p>
    <w:p w14:paraId="51C866F9" w14:textId="1A9C355F"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17</w:t>
      </w:r>
      <w:r>
        <w:rPr>
          <w:noProof/>
        </w:rPr>
        <w:fldChar w:fldCharType="end"/>
      </w:r>
      <w:r w:rsidR="00ED1A94" w:rsidRPr="00804D68">
        <w:t>.  En outre, par un arrêt du 8</w:t>
      </w:r>
      <w:r w:rsidR="00C030B1" w:rsidRPr="00804D68">
        <w:t xml:space="preserve"> </w:t>
      </w:r>
      <w:r w:rsidR="00ED1A94" w:rsidRPr="00804D68">
        <w:t xml:space="preserve">novembre 2022, l’Assemblée plénière de la Cour de cassation, tout en rappelant que la transcription de l’acte de naissance d’un enfant né d’une GPA pratiquée à l’étranger était, pour autant qu’elle concernait le parent d’intention, interdite comme étant contraire à l’ordre public, a établi, en se référant aux arrêts </w:t>
      </w:r>
      <w:r w:rsidR="00ED1A94" w:rsidRPr="00804D68">
        <w:rPr>
          <w:i/>
          <w:iCs/>
        </w:rPr>
        <w:t>D.B. et autres c. Suisse</w:t>
      </w:r>
      <w:r w:rsidR="00ED1A94" w:rsidRPr="00804D68">
        <w:t xml:space="preserve"> et </w:t>
      </w:r>
      <w:r w:rsidR="00ED1A94" w:rsidRPr="00804D68">
        <w:rPr>
          <w:i/>
          <w:iCs/>
        </w:rPr>
        <w:t>D</w:t>
      </w:r>
      <w:r w:rsidR="00427C1A" w:rsidRPr="00804D68">
        <w:rPr>
          <w:i/>
          <w:iCs/>
        </w:rPr>
        <w:t> </w:t>
      </w:r>
      <w:r w:rsidR="00ED1A94" w:rsidRPr="00804D68">
        <w:rPr>
          <w:i/>
          <w:iCs/>
        </w:rPr>
        <w:t>c. France</w:t>
      </w:r>
      <w:r w:rsidR="00ED1A94" w:rsidRPr="00804D68">
        <w:t>, précités, que « l’enfant né de la maternité de substitution a également un droit fondamental à la reconnaissance, y compris juridique, du lien qui s’est créé en vertu de la relation affective établie et vécue avec celle qui a partagé le projet parental. L’obligation fondamentale d’assurer à l’enfant né d’une maternité de substitution les mêmes droits qu’aux enfants nés dans des conditions différentes est satisfaite par la possibilité de l’adoption dans des cas particuliers prévue à l’article 44, § 1, lettre d) de la loi n</w:t>
      </w:r>
      <w:r w:rsidR="00ED1A94" w:rsidRPr="00804D68">
        <w:rPr>
          <w:vertAlign w:val="superscript"/>
        </w:rPr>
        <w:t>o</w:t>
      </w:r>
      <w:r w:rsidR="00ED1A94" w:rsidRPr="00804D68">
        <w:t> 184 de 1983. Dans l’état actuel du développement juridique, l’adoption est le moyen par lequel il est possible de faire reconnaître juridiquement, en conférant à un tel enfant, à l’égard du parent d’adoption, le statut de fils ou de fille, le lien de fait entre l’enfant en question et la personne qui a partagé avec le parent biologique le projet de procréation et contribué à l’entretien de l’enfant dès sa naissance ».</w:t>
      </w:r>
    </w:p>
    <w:p w14:paraId="10232D96" w14:textId="089FDEDC"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18</w:t>
      </w:r>
      <w:r>
        <w:rPr>
          <w:noProof/>
        </w:rPr>
        <w:fldChar w:fldCharType="end"/>
      </w:r>
      <w:r w:rsidR="00ED1A94" w:rsidRPr="00804D68">
        <w:t>.  S’appuyant sur les principes exposés au paragraphe </w:t>
      </w:r>
      <w:r w:rsidR="00ED1A94" w:rsidRPr="00804D68">
        <w:fldChar w:fldCharType="begin"/>
      </w:r>
      <w:r w:rsidR="00ED1A94" w:rsidRPr="00804D68">
        <w:instrText xml:space="preserve"> REF paragraph00012 \h  \* CharFormat </w:instrText>
      </w:r>
      <w:r w:rsidR="00ED1A94" w:rsidRPr="00804D68">
        <w:fldChar w:fldCharType="separate"/>
      </w:r>
      <w:r w:rsidR="00804D68" w:rsidRPr="00804D68">
        <w:t>12</w:t>
      </w:r>
      <w:r w:rsidR="00ED1A94" w:rsidRPr="00804D68">
        <w:fldChar w:fldCharType="end"/>
      </w:r>
      <w:r w:rsidR="00ED1A94" w:rsidRPr="00804D68">
        <w:t xml:space="preserve"> ci-dessus, la Cour constate qu’à la date de la naissance des requérants de la requête n</w:t>
      </w:r>
      <w:r w:rsidR="00ED1A94" w:rsidRPr="00804D68">
        <w:rPr>
          <w:vertAlign w:val="superscript"/>
        </w:rPr>
        <w:t>o</w:t>
      </w:r>
      <w:r w:rsidR="00ED1A94" w:rsidRPr="00804D68">
        <w:t> 59054/19, le droit interne ne leur offrait aucune possibilité de voir reconnaître un lien de filiation les unissant à leur père d’intention, puisque ce n’est qu’à partir de 2014 que plusieurs tribunaux ont commencé à admettre le recours par le parent d’intention à l’adoption dans des cas particuliers.</w:t>
      </w:r>
    </w:p>
    <w:p w14:paraId="30987FC7" w14:textId="2604297D" w:rsidR="00ED1A94" w:rsidRPr="00804D68" w:rsidRDefault="00521C24" w:rsidP="00804D68">
      <w:pPr>
        <w:pStyle w:val="JuPara"/>
      </w:pPr>
      <w:r>
        <w:rPr>
          <w:noProof/>
        </w:rPr>
        <w:lastRenderedPageBreak/>
        <w:fldChar w:fldCharType="begin"/>
      </w:r>
      <w:r>
        <w:rPr>
          <w:noProof/>
        </w:rPr>
        <w:instrText xml:space="preserve"> SEQ level0 \*arabic \* MERGEFORMAT </w:instrText>
      </w:r>
      <w:r>
        <w:rPr>
          <w:noProof/>
        </w:rPr>
        <w:fldChar w:fldCharType="separate"/>
      </w:r>
      <w:r w:rsidR="00804D68" w:rsidRPr="00804D68">
        <w:rPr>
          <w:noProof/>
        </w:rPr>
        <w:t>19</w:t>
      </w:r>
      <w:r>
        <w:rPr>
          <w:noProof/>
        </w:rPr>
        <w:fldChar w:fldCharType="end"/>
      </w:r>
      <w:r w:rsidR="00ED1A94" w:rsidRPr="00804D68">
        <w:t>.  Toutefois, la Cour note que dans le cas en question le parent biologique et le parent d’intention n’ont sollicité qu’en 2016 – c’est-à-dire à un moment où la possibilité de l’adoption dans des cas particuliers était déjà admise – la transcription dans l’état civil italien des actes de naissance établis à l’étranger, et qu’ils ont selon toute apparence introduit une demande d’adoption</w:t>
      </w:r>
      <w:r w:rsidR="00ED1A94" w:rsidRPr="00804D68" w:rsidDel="00A9611E">
        <w:t xml:space="preserve"> </w:t>
      </w:r>
      <w:r w:rsidR="00ED1A94" w:rsidRPr="00804D68">
        <w:t>à une date récente.</w:t>
      </w:r>
    </w:p>
    <w:p w14:paraId="656AB62E" w14:textId="321BEC91"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20</w:t>
      </w:r>
      <w:r>
        <w:rPr>
          <w:noProof/>
        </w:rPr>
        <w:fldChar w:fldCharType="end"/>
      </w:r>
      <w:r w:rsidR="00ED1A94" w:rsidRPr="00804D68">
        <w:t>.  Quant aux deux autres requêtes (n</w:t>
      </w:r>
      <w:r w:rsidR="00ED1A94" w:rsidRPr="00804D68">
        <w:rPr>
          <w:vertAlign w:val="superscript"/>
        </w:rPr>
        <w:t>os</w:t>
      </w:r>
      <w:r w:rsidR="00ED1A94" w:rsidRPr="00804D68">
        <w:t> 12109/20 et 45426/21), la Cour note que l’évolution jurisprudentielle ayant permis la reconnaissance de l’adoption de la part du parent d’intention est antérieure à la naissance des enfants et qu’aucune demande d’adoption ne semble avoir été introduite.</w:t>
      </w:r>
    </w:p>
    <w:p w14:paraId="49DBE817" w14:textId="66104C07"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bookmarkStart w:id="2" w:name="paragraph00020"/>
      <w:r w:rsidR="00804D68" w:rsidRPr="00804D68">
        <w:rPr>
          <w:noProof/>
        </w:rPr>
        <w:t>21</w:t>
      </w:r>
      <w:bookmarkEnd w:id="2"/>
      <w:r>
        <w:rPr>
          <w:noProof/>
        </w:rPr>
        <w:fldChar w:fldCharType="end"/>
      </w:r>
      <w:r w:rsidR="00ED1A94" w:rsidRPr="00804D68">
        <w:t>.  Par conséquent, la Cour constate que le désir de voir reconnaître un lien entre les enfants et les parents d’intention ne se heurtait pas à une impossibilité générale et absolue, les requérants ayant eu à leur disposition la voie de l’adoption et ne l’ayant pas utilisée.</w:t>
      </w:r>
    </w:p>
    <w:p w14:paraId="14638AFB" w14:textId="57B72A3E"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22</w:t>
      </w:r>
      <w:r>
        <w:rPr>
          <w:noProof/>
        </w:rPr>
        <w:fldChar w:fldCharType="end"/>
      </w:r>
      <w:r w:rsidR="00ED1A94" w:rsidRPr="00804D68">
        <w:t>.  La Cour est en outre appelée à vérifier si, en rejetant les demandes des requérants tendant, pour les requêtes n</w:t>
      </w:r>
      <w:r w:rsidR="00ED1A94" w:rsidRPr="00804D68">
        <w:rPr>
          <w:vertAlign w:val="superscript"/>
        </w:rPr>
        <w:t>os</w:t>
      </w:r>
      <w:r w:rsidR="00ED1A94" w:rsidRPr="00804D68">
        <w:t> 59054/19 et 12109/20, à faire reconnaître les actes de naissance établis à l’étranger et, pour la requête n</w:t>
      </w:r>
      <w:r w:rsidR="00ED1A94" w:rsidRPr="00804D68">
        <w:rPr>
          <w:vertAlign w:val="superscript"/>
        </w:rPr>
        <w:t>o</w:t>
      </w:r>
      <w:r w:rsidR="00ED1A94" w:rsidRPr="00804D68">
        <w:t> 45426/21, à faire rétablir la mention du père d’intention sur l’acte de naissance, les autorités italiennes ont méconnu le lien de filiation entre les enfants concernés et leurs parents d’intention et violé ainsi le droit des requérants au respect de leur vie familiale au sens de l’article 8 de la Convention.</w:t>
      </w:r>
    </w:p>
    <w:p w14:paraId="49D783BE" w14:textId="3C87B612"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23</w:t>
      </w:r>
      <w:r>
        <w:rPr>
          <w:noProof/>
        </w:rPr>
        <w:fldChar w:fldCharType="end"/>
      </w:r>
      <w:r w:rsidR="00ED1A94" w:rsidRPr="00804D68">
        <w:t>.  La Cour rappelle que la GPA à laquelle les parents des requérants dans la requête n</w:t>
      </w:r>
      <w:r w:rsidR="00ED1A94" w:rsidRPr="00804D68">
        <w:rPr>
          <w:vertAlign w:val="superscript"/>
        </w:rPr>
        <w:t>o</w:t>
      </w:r>
      <w:r w:rsidR="00ED1A94" w:rsidRPr="00804D68">
        <w:t> 59054/19, les deux premiers requérants dans la requête n</w:t>
      </w:r>
      <w:r w:rsidR="00ED1A94" w:rsidRPr="00804D68">
        <w:rPr>
          <w:vertAlign w:val="superscript"/>
        </w:rPr>
        <w:t>o</w:t>
      </w:r>
      <w:r w:rsidR="00ED1A94" w:rsidRPr="00804D68">
        <w:t> 12109/20 et le premier requérant dans la requête n</w:t>
      </w:r>
      <w:r w:rsidR="00ED1A94" w:rsidRPr="00804D68">
        <w:rPr>
          <w:vertAlign w:val="superscript"/>
        </w:rPr>
        <w:t>o</w:t>
      </w:r>
      <w:r w:rsidR="00ED1A94" w:rsidRPr="00804D68">
        <w:t> 45426/21 ont eu recours pour créer une famille est contraire à l’ordre public italien, et qu’au demeurant les intéressés ne prétendent pas avoir ignoré que le droit italien la prohibait.</w:t>
      </w:r>
    </w:p>
    <w:p w14:paraId="6BE5F194" w14:textId="44BD6AF6"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24</w:t>
      </w:r>
      <w:r>
        <w:rPr>
          <w:noProof/>
        </w:rPr>
        <w:fldChar w:fldCharType="end"/>
      </w:r>
      <w:r w:rsidR="00ED1A94" w:rsidRPr="00804D68">
        <w:t>.  Par ailleurs, la Cour estime que la non‑reconnaissance par les autorités italiennes des actes de naissance étrangers pour autant qu’ils concernaient les pères d’intention n’a, en pratique, pas affecté de manière significative la jouissance par les intéressés de leur droit à la vie familiale. Elle conclut ainsi que les difficultés pratiques que les requérants pourraient rencontrer dans leur vie familiale à raison de la non-reconnaissance en droit italien d’un lien entre le père d’intention et les enfants concernés ne dépassent pas les limites qu’impose le respect de l’article</w:t>
      </w:r>
      <w:r w:rsidR="00C030B1" w:rsidRPr="00804D68">
        <w:t xml:space="preserve"> </w:t>
      </w:r>
      <w:r w:rsidR="00ED1A94" w:rsidRPr="00804D68">
        <w:t xml:space="preserve">8 de la Convention (voir, </w:t>
      </w:r>
      <w:r w:rsidR="00ED1A94" w:rsidRPr="00804D68">
        <w:rPr>
          <w:i/>
          <w:iCs/>
        </w:rPr>
        <w:t>mutatis mutandis</w:t>
      </w:r>
      <w:r w:rsidR="00ED1A94" w:rsidRPr="00804D68">
        <w:t xml:space="preserve">, </w:t>
      </w:r>
      <w:r w:rsidR="00ED1A94" w:rsidRPr="00804D68">
        <w:rPr>
          <w:i/>
          <w:iCs/>
        </w:rPr>
        <w:t>Mennesson</w:t>
      </w:r>
      <w:r w:rsidR="00ED1A94" w:rsidRPr="00804D68">
        <w:t>, précité, § 93).</w:t>
      </w:r>
    </w:p>
    <w:p w14:paraId="6F71A7A2" w14:textId="70FB14D3"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25</w:t>
      </w:r>
      <w:r>
        <w:rPr>
          <w:noProof/>
        </w:rPr>
        <w:fldChar w:fldCharType="end"/>
      </w:r>
      <w:r w:rsidR="00ED1A94" w:rsidRPr="00804D68">
        <w:t>.  Quant au grief tiré par les requérants sur le terrain de l’article</w:t>
      </w:r>
      <w:r w:rsidR="00C030B1" w:rsidRPr="00804D68">
        <w:t xml:space="preserve"> </w:t>
      </w:r>
      <w:r w:rsidR="00ED1A94" w:rsidRPr="00804D68">
        <w:t>14 de la Convention combiné avec l’article</w:t>
      </w:r>
      <w:r w:rsidR="00C030B1" w:rsidRPr="00804D68">
        <w:t xml:space="preserve"> </w:t>
      </w:r>
      <w:r w:rsidR="00ED1A94" w:rsidRPr="00804D68">
        <w:t>8 de l’impossibilité concrète pour les couples de même sexe de faire reconnaître un lien de filiation entre un enfant et un parent d’intention, la Cour estime, au vu des conclusions auxquelles elle est parvenue au paragraphe </w:t>
      </w:r>
      <w:r w:rsidR="00ED1A94" w:rsidRPr="00804D68">
        <w:fldChar w:fldCharType="begin"/>
      </w:r>
      <w:r w:rsidR="00ED1A94" w:rsidRPr="00804D68">
        <w:instrText xml:space="preserve"> REF paragraph00020 \h  \* CharFormat </w:instrText>
      </w:r>
      <w:r w:rsidR="00ED1A94" w:rsidRPr="00804D68">
        <w:fldChar w:fldCharType="separate"/>
      </w:r>
      <w:r w:rsidR="00804D68" w:rsidRPr="00804D68">
        <w:t>21</w:t>
      </w:r>
      <w:r w:rsidR="00ED1A94" w:rsidRPr="00804D68">
        <w:fldChar w:fldCharType="end"/>
      </w:r>
      <w:r w:rsidR="00ED1A94" w:rsidRPr="00804D68">
        <w:t xml:space="preserve"> ci-dessus, qu’il ne soulève aucune question distincte essentielle, et en conclut qu’il n’y a pas lieu de statuer séparément </w:t>
      </w:r>
      <w:r w:rsidR="00ED1A94" w:rsidRPr="00804D68">
        <w:lastRenderedPageBreak/>
        <w:t xml:space="preserve">sur ce point (voir, dans ce sens, </w:t>
      </w:r>
      <w:r w:rsidR="00ED1A94" w:rsidRPr="00804D68">
        <w:rPr>
          <w:i/>
          <w:iCs/>
        </w:rPr>
        <w:t xml:space="preserve">Centre de ressources juridiques au nom de Valentin </w:t>
      </w:r>
      <w:proofErr w:type="spellStart"/>
      <w:r w:rsidR="00ED1A94" w:rsidRPr="00804D68">
        <w:rPr>
          <w:i/>
          <w:iCs/>
        </w:rPr>
        <w:t>Câmpeanu</w:t>
      </w:r>
      <w:proofErr w:type="spellEnd"/>
      <w:r w:rsidR="00ED1A94" w:rsidRPr="00804D68">
        <w:rPr>
          <w:i/>
          <w:iCs/>
        </w:rPr>
        <w:t xml:space="preserve"> c. Roumanie</w:t>
      </w:r>
      <w:r w:rsidR="00ED1A94" w:rsidRPr="00804D68">
        <w:t xml:space="preserve"> [GC], n</w:t>
      </w:r>
      <w:r w:rsidR="00ED1A94" w:rsidRPr="00804D68">
        <w:rPr>
          <w:vertAlign w:val="superscript"/>
        </w:rPr>
        <w:t>o</w:t>
      </w:r>
      <w:r w:rsidR="00ED1A94" w:rsidRPr="00804D68">
        <w:t> 47848/08, § 156, CEDH 2014).</w:t>
      </w:r>
    </w:p>
    <w:p w14:paraId="7638EF34" w14:textId="5B02C795" w:rsidR="00ED1A94" w:rsidRPr="00804D68" w:rsidRDefault="00521C24" w:rsidP="00804D68">
      <w:pPr>
        <w:pStyle w:val="JuPara"/>
      </w:pPr>
      <w:r>
        <w:rPr>
          <w:noProof/>
        </w:rPr>
        <w:fldChar w:fldCharType="begin"/>
      </w:r>
      <w:r>
        <w:rPr>
          <w:noProof/>
        </w:rPr>
        <w:instrText xml:space="preserve"> SEQ level0 \*arabic \* MERGEFORMAT </w:instrText>
      </w:r>
      <w:r>
        <w:rPr>
          <w:noProof/>
        </w:rPr>
        <w:fldChar w:fldCharType="separate"/>
      </w:r>
      <w:r w:rsidR="00804D68" w:rsidRPr="00804D68">
        <w:rPr>
          <w:noProof/>
        </w:rPr>
        <w:t>26</w:t>
      </w:r>
      <w:r>
        <w:rPr>
          <w:noProof/>
        </w:rPr>
        <w:fldChar w:fldCharType="end"/>
      </w:r>
      <w:r w:rsidR="00ED1A94" w:rsidRPr="00804D68">
        <w:t>.  À la lumière de ce qui précède, après s’être livrée à un examen approfondi des observations des parties et des tiers intervenants et à une analyse de la jurisprudence pertinente, la Cour considère que l’État défendeur n’a pas outrepassé en l’espèce l’ample marge d’appréciation dont il disposait en matière de mise en œuvre des moyens permettant d’établir ou de reconnaître la filiation.</w:t>
      </w:r>
    </w:p>
    <w:p w14:paraId="013D99C0" w14:textId="1EB66086" w:rsidR="00ED1A94" w:rsidRPr="00804D68" w:rsidRDefault="00ED1A94" w:rsidP="00804D68">
      <w:pPr>
        <w:pStyle w:val="JuPara"/>
        <w:rPr>
          <w:rFonts w:eastAsia="PMingLiU"/>
          <w:color w:val="000000"/>
        </w:rPr>
      </w:pPr>
      <w:r w:rsidRPr="00804D68">
        <w:rPr>
          <w:rFonts w:eastAsia="Times New Roman"/>
          <w:snapToGrid w:val="0"/>
        </w:rPr>
        <w:t>Il s’ensuit que les requêtes doivent être rejetées en application de l’article 35 § 4 de la Convention</w:t>
      </w:r>
      <w:r w:rsidRPr="00804D68">
        <w:rPr>
          <w:rFonts w:eastAsia="PMingLiU"/>
          <w:color w:val="000000"/>
        </w:rPr>
        <w:t>.</w:t>
      </w:r>
    </w:p>
    <w:p w14:paraId="3CE447EE" w14:textId="497DD661" w:rsidR="00ED1A94" w:rsidRPr="00804D68" w:rsidRDefault="00ED1A94" w:rsidP="00804D68">
      <w:pPr>
        <w:pStyle w:val="JuParaLast"/>
      </w:pPr>
      <w:r w:rsidRPr="00804D68">
        <w:t>Par ces motifs, la Cour, à l’unanimité,</w:t>
      </w:r>
    </w:p>
    <w:p w14:paraId="1CA85BB4" w14:textId="77777777" w:rsidR="00ED1A94" w:rsidRPr="00804D68" w:rsidRDefault="00ED1A94" w:rsidP="00804D68">
      <w:pPr>
        <w:pStyle w:val="DecList"/>
      </w:pPr>
      <w:r w:rsidRPr="00804D68">
        <w:rPr>
          <w:i/>
          <w:iCs/>
        </w:rPr>
        <w:t>Décide</w:t>
      </w:r>
      <w:r w:rsidRPr="00804D68">
        <w:t xml:space="preserve"> de joindre les requêtes ;</w:t>
      </w:r>
    </w:p>
    <w:p w14:paraId="01D2C948" w14:textId="77777777" w:rsidR="00ED1A94" w:rsidRPr="00804D68" w:rsidRDefault="00ED1A94" w:rsidP="00804D68">
      <w:pPr>
        <w:pStyle w:val="DecList"/>
      </w:pPr>
      <w:r w:rsidRPr="00804D68">
        <w:rPr>
          <w:i/>
        </w:rPr>
        <w:t>Déclare</w:t>
      </w:r>
      <w:r w:rsidRPr="00804D68">
        <w:t xml:space="preserve"> les requêtes irrecevables.</w:t>
      </w:r>
    </w:p>
    <w:p w14:paraId="74DAFE9B" w14:textId="0690E1B3" w:rsidR="00050A32" w:rsidRPr="00804D68" w:rsidRDefault="00F40988" w:rsidP="00804D68">
      <w:pPr>
        <w:pStyle w:val="JuParaLast"/>
        <w:rPr>
          <w:sz w:val="14"/>
        </w:rPr>
      </w:pPr>
      <w:r w:rsidRPr="00804D68">
        <w:t xml:space="preserve">Fait en français puis communiqué par écrit le </w:t>
      </w:r>
      <w:r w:rsidR="00ED1A94" w:rsidRPr="00804D68">
        <w:rPr>
          <w:noProof/>
        </w:rPr>
        <w:t>22 juin 2023</w:t>
      </w:r>
      <w:r w:rsidRPr="00804D68">
        <w:t>.</w:t>
      </w:r>
    </w:p>
    <w:p w14:paraId="1066823D" w14:textId="33A95760" w:rsidR="00C64EBF" w:rsidRPr="00804D68" w:rsidRDefault="001B2A94" w:rsidP="00804D68">
      <w:pPr>
        <w:pStyle w:val="ECHRPlaceholder"/>
      </w:pPr>
      <w:r w:rsidRPr="00804D68">
        <w:tab/>
      </w:r>
    </w:p>
    <w:p w14:paraId="479F1070" w14:textId="74416EE1" w:rsidR="0091478F" w:rsidRPr="00804D68" w:rsidRDefault="00050A32" w:rsidP="00804D68">
      <w:pPr>
        <w:pStyle w:val="JuSigned"/>
      </w:pPr>
      <w:r w:rsidRPr="00804D68">
        <w:tab/>
      </w:r>
      <w:r w:rsidR="00ED1A94" w:rsidRPr="00804D68">
        <w:rPr>
          <w:rFonts w:eastAsia="PMingLiU"/>
          <w:noProof/>
        </w:rPr>
        <w:t>Liv Tigerstedt</w:t>
      </w:r>
      <w:r w:rsidR="0091478F" w:rsidRPr="00804D68">
        <w:tab/>
      </w:r>
      <w:r w:rsidR="00ED1A94" w:rsidRPr="00804D68">
        <w:rPr>
          <w:noProof/>
        </w:rPr>
        <w:t>Péter Paczolay</w:t>
      </w:r>
      <w:r w:rsidR="0058193F" w:rsidRPr="00804D68">
        <w:br/>
      </w:r>
      <w:r w:rsidR="0035621E" w:rsidRPr="00804D68">
        <w:rPr>
          <w:iCs/>
        </w:rPr>
        <w:tab/>
      </w:r>
      <w:r w:rsidR="00ED1A94" w:rsidRPr="00804D68">
        <w:rPr>
          <w:noProof/>
        </w:rPr>
        <w:t>Greffière adjointe</w:t>
      </w:r>
      <w:r w:rsidR="0091478F" w:rsidRPr="00804D68">
        <w:tab/>
      </w:r>
      <w:r w:rsidR="00ED1A94" w:rsidRPr="00804D68">
        <w:rPr>
          <w:noProof/>
        </w:rPr>
        <w:t>Président</w:t>
      </w:r>
    </w:p>
    <w:p w14:paraId="281047F0" w14:textId="36A1521D" w:rsidR="00564159" w:rsidRPr="00804D68" w:rsidRDefault="00ED1A94" w:rsidP="00804D68">
      <w:pPr>
        <w:rPr>
          <w:noProof/>
        </w:rPr>
      </w:pPr>
      <w:r w:rsidRPr="00804D68">
        <w:rPr>
          <w:noProof/>
        </w:rPr>
        <w:br w:type="page"/>
      </w:r>
    </w:p>
    <w:p w14:paraId="1BCE27E8" w14:textId="77777777" w:rsidR="00A61EAA" w:rsidRPr="00804D68" w:rsidRDefault="00A61EAA" w:rsidP="00804D68">
      <w:pPr>
        <w:pStyle w:val="DecHTitle"/>
        <w:rPr>
          <w:rFonts w:ascii="Times New Roman" w:hAnsi="Times New Roman" w:cs="Times New Roman"/>
        </w:rPr>
        <w:sectPr w:rsidR="00A61EAA" w:rsidRPr="00804D68"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pPr>
    </w:p>
    <w:p w14:paraId="7AA3E889" w14:textId="09345AE9" w:rsidR="00ED1A94" w:rsidRPr="00804D68" w:rsidRDefault="00ED1A94" w:rsidP="00804D68">
      <w:pPr>
        <w:pStyle w:val="DecHTitle"/>
        <w:rPr>
          <w:rFonts w:ascii="Times New Roman" w:hAnsi="Times New Roman" w:cs="Times New Roman"/>
        </w:rPr>
      </w:pPr>
      <w:r w:rsidRPr="00804D68">
        <w:rPr>
          <w:rFonts w:ascii="Times New Roman" w:hAnsi="Times New Roman" w:cs="Times New Roman"/>
        </w:rPr>
        <w:lastRenderedPageBreak/>
        <w:t>ANNEXE</w:t>
      </w:r>
    </w:p>
    <w:tbl>
      <w:tblPr>
        <w:tblStyle w:val="ECHRListTable"/>
        <w:tblW w:w="14743" w:type="dxa"/>
        <w:tblInd w:w="-1281" w:type="dxa"/>
        <w:tblLook w:val="0420" w:firstRow="1" w:lastRow="0" w:firstColumn="0" w:lastColumn="0" w:noHBand="0" w:noVBand="1"/>
      </w:tblPr>
      <w:tblGrid>
        <w:gridCol w:w="709"/>
        <w:gridCol w:w="1985"/>
        <w:gridCol w:w="2268"/>
        <w:gridCol w:w="1701"/>
        <w:gridCol w:w="8080"/>
      </w:tblGrid>
      <w:tr w:rsidR="00ED1A94" w:rsidRPr="00804D68" w14:paraId="4FEE80A8" w14:textId="77777777" w:rsidTr="00427C1A">
        <w:trPr>
          <w:cnfStyle w:val="100000000000" w:firstRow="1" w:lastRow="0" w:firstColumn="0" w:lastColumn="0" w:oddVBand="0" w:evenVBand="0" w:oddHBand="0" w:evenHBand="0" w:firstRowFirstColumn="0" w:firstRowLastColumn="0" w:lastRowFirstColumn="0" w:lastRowLastColumn="0"/>
        </w:trPr>
        <w:tc>
          <w:tcPr>
            <w:tcW w:w="709" w:type="dxa"/>
            <w:hideMark/>
          </w:tcPr>
          <w:p w14:paraId="7D1CD3DD" w14:textId="77777777" w:rsidR="00ED1A94" w:rsidRPr="00804D68" w:rsidRDefault="00ED1A94" w:rsidP="00804D68">
            <w:pPr>
              <w:rPr>
                <w:rFonts w:eastAsia="Times New Roman"/>
                <w:sz w:val="18"/>
                <w:szCs w:val="18"/>
              </w:rPr>
            </w:pPr>
            <w:bookmarkStart w:id="3" w:name="AppTableStart"/>
            <w:bookmarkEnd w:id="3"/>
            <w:r w:rsidRPr="00804D68">
              <w:rPr>
                <w:rFonts w:eastAsia="Times New Roman"/>
                <w:sz w:val="18"/>
                <w:szCs w:val="18"/>
              </w:rPr>
              <w:t>No.</w:t>
            </w:r>
          </w:p>
        </w:tc>
        <w:tc>
          <w:tcPr>
            <w:tcW w:w="1985" w:type="dxa"/>
            <w:hideMark/>
          </w:tcPr>
          <w:p w14:paraId="55F8CE7A" w14:textId="77777777" w:rsidR="00ED1A94" w:rsidRPr="00804D68" w:rsidRDefault="00ED1A94" w:rsidP="00804D68">
            <w:pPr>
              <w:rPr>
                <w:rFonts w:eastAsia="Times New Roman"/>
                <w:b w:val="0"/>
                <w:sz w:val="18"/>
                <w:szCs w:val="18"/>
              </w:rPr>
            </w:pPr>
            <w:r w:rsidRPr="00804D68">
              <w:rPr>
                <w:rFonts w:eastAsia="Times New Roman"/>
                <w:sz w:val="18"/>
                <w:szCs w:val="18"/>
              </w:rPr>
              <w:t>Requête n</w:t>
            </w:r>
            <w:r w:rsidRPr="00804D68">
              <w:rPr>
                <w:rFonts w:eastAsia="Times New Roman"/>
                <w:sz w:val="18"/>
                <w:szCs w:val="18"/>
                <w:vertAlign w:val="superscript"/>
              </w:rPr>
              <w:t>o</w:t>
            </w:r>
          </w:p>
          <w:p w14:paraId="45160EA3" w14:textId="37550745" w:rsidR="00ED1A94" w:rsidRPr="00804D68" w:rsidRDefault="00ED1A94" w:rsidP="00804D68">
            <w:pPr>
              <w:rPr>
                <w:rFonts w:eastAsia="Times New Roman"/>
                <w:b w:val="0"/>
                <w:sz w:val="18"/>
                <w:szCs w:val="18"/>
              </w:rPr>
            </w:pPr>
            <w:r w:rsidRPr="00804D68">
              <w:rPr>
                <w:rFonts w:eastAsia="Times New Roman"/>
                <w:sz w:val="18"/>
                <w:szCs w:val="18"/>
              </w:rPr>
              <w:t>Nom de l’affaire</w:t>
            </w:r>
          </w:p>
          <w:p w14:paraId="7A3C67C4" w14:textId="51F1E440" w:rsidR="00ED1A94" w:rsidRPr="00804D68" w:rsidRDefault="00ED1A94" w:rsidP="00804D68">
            <w:pPr>
              <w:rPr>
                <w:rFonts w:eastAsia="Times New Roman"/>
                <w:sz w:val="18"/>
                <w:szCs w:val="18"/>
              </w:rPr>
            </w:pPr>
            <w:r w:rsidRPr="00804D68">
              <w:rPr>
                <w:rFonts w:eastAsia="Times New Roman"/>
                <w:sz w:val="18"/>
                <w:szCs w:val="18"/>
              </w:rPr>
              <w:t>Date d’introduction</w:t>
            </w:r>
          </w:p>
        </w:tc>
        <w:tc>
          <w:tcPr>
            <w:tcW w:w="2268" w:type="dxa"/>
            <w:hideMark/>
          </w:tcPr>
          <w:p w14:paraId="7A65C143" w14:textId="77777777" w:rsidR="00ED1A94" w:rsidRPr="00804D68" w:rsidRDefault="00ED1A94" w:rsidP="00804D68">
            <w:pPr>
              <w:rPr>
                <w:rFonts w:eastAsia="Times New Roman"/>
                <w:sz w:val="18"/>
                <w:szCs w:val="18"/>
              </w:rPr>
            </w:pPr>
            <w:r w:rsidRPr="00804D68">
              <w:rPr>
                <w:rFonts w:eastAsia="Times New Roman"/>
                <w:sz w:val="18"/>
                <w:szCs w:val="18"/>
              </w:rPr>
              <w:t>Requérant</w:t>
            </w:r>
            <w:r w:rsidRPr="00804D68">
              <w:rPr>
                <w:rFonts w:eastAsia="Times New Roman"/>
                <w:sz w:val="18"/>
                <w:szCs w:val="18"/>
              </w:rPr>
              <w:br/>
              <w:t>Année de naissance</w:t>
            </w:r>
            <w:r w:rsidRPr="00804D68">
              <w:rPr>
                <w:rFonts w:eastAsia="Times New Roman"/>
                <w:sz w:val="18"/>
                <w:szCs w:val="18"/>
              </w:rPr>
              <w:br/>
              <w:t>Nationalité</w:t>
            </w:r>
          </w:p>
        </w:tc>
        <w:tc>
          <w:tcPr>
            <w:tcW w:w="1701" w:type="dxa"/>
            <w:hideMark/>
          </w:tcPr>
          <w:p w14:paraId="2CB4194F" w14:textId="77777777" w:rsidR="00ED1A94" w:rsidRPr="00804D68" w:rsidRDefault="00ED1A94" w:rsidP="00804D68">
            <w:pPr>
              <w:rPr>
                <w:rFonts w:eastAsia="Times New Roman"/>
                <w:sz w:val="18"/>
                <w:szCs w:val="18"/>
              </w:rPr>
            </w:pPr>
            <w:r w:rsidRPr="00804D68">
              <w:rPr>
                <w:rFonts w:eastAsia="Times New Roman"/>
                <w:sz w:val="18"/>
                <w:szCs w:val="18"/>
              </w:rPr>
              <w:t>Représenté par</w:t>
            </w:r>
          </w:p>
        </w:tc>
        <w:tc>
          <w:tcPr>
            <w:tcW w:w="8080" w:type="dxa"/>
          </w:tcPr>
          <w:p w14:paraId="143BA9D1" w14:textId="35332080" w:rsidR="00ED1A94" w:rsidRPr="00804D68" w:rsidRDefault="00ED1A94" w:rsidP="00804D68">
            <w:pPr>
              <w:rPr>
                <w:rFonts w:eastAsia="Times New Roman"/>
                <w:sz w:val="18"/>
                <w:szCs w:val="18"/>
              </w:rPr>
            </w:pPr>
            <w:r w:rsidRPr="00804D68">
              <w:rPr>
                <w:rFonts w:eastAsia="Times New Roman"/>
                <w:sz w:val="18"/>
                <w:szCs w:val="18"/>
              </w:rPr>
              <w:t>Informations factuelles</w:t>
            </w:r>
          </w:p>
        </w:tc>
      </w:tr>
      <w:tr w:rsidR="00ED1A94" w:rsidRPr="00804D68" w14:paraId="3B5F9AAA" w14:textId="77777777" w:rsidTr="00427C1A">
        <w:tc>
          <w:tcPr>
            <w:tcW w:w="709" w:type="dxa"/>
            <w:hideMark/>
          </w:tcPr>
          <w:p w14:paraId="0BCA7CAF" w14:textId="77777777" w:rsidR="00ED1A94" w:rsidRPr="00804D68" w:rsidRDefault="00ED1A94" w:rsidP="00804D68">
            <w:pPr>
              <w:rPr>
                <w:rFonts w:eastAsia="Times New Roman"/>
                <w:sz w:val="18"/>
                <w:szCs w:val="18"/>
              </w:rPr>
            </w:pPr>
            <w:r w:rsidRPr="00804D68">
              <w:rPr>
                <w:rFonts w:eastAsia="Times New Roman"/>
                <w:sz w:val="18"/>
                <w:szCs w:val="18"/>
              </w:rPr>
              <w:t>1.</w:t>
            </w:r>
          </w:p>
        </w:tc>
        <w:tc>
          <w:tcPr>
            <w:tcW w:w="1985" w:type="dxa"/>
            <w:hideMark/>
          </w:tcPr>
          <w:p w14:paraId="0363D3D6" w14:textId="0DE75529" w:rsidR="00ED1A94" w:rsidRPr="00804D68" w:rsidRDefault="00ED1A94" w:rsidP="00804D68">
            <w:pPr>
              <w:rPr>
                <w:rFonts w:eastAsia="Times New Roman"/>
                <w:sz w:val="18"/>
                <w:szCs w:val="18"/>
              </w:rPr>
            </w:pPr>
            <w:r w:rsidRPr="00804D68">
              <w:rPr>
                <w:rFonts w:eastAsia="Times New Roman"/>
                <w:sz w:val="18"/>
                <w:szCs w:val="18"/>
              </w:rPr>
              <w:t>59054/19</w:t>
            </w:r>
          </w:p>
          <w:p w14:paraId="6AE09971" w14:textId="7EBAABCE" w:rsidR="00ED1A94" w:rsidRPr="00804D68" w:rsidRDefault="00ED1A94" w:rsidP="00804D68">
            <w:pPr>
              <w:rPr>
                <w:rFonts w:eastAsia="Times New Roman"/>
                <w:sz w:val="18"/>
                <w:szCs w:val="18"/>
              </w:rPr>
            </w:pPr>
            <w:proofErr w:type="spellStart"/>
            <w:r w:rsidRPr="00804D68">
              <w:rPr>
                <w:rFonts w:eastAsia="Times New Roman"/>
                <w:sz w:val="18"/>
                <w:szCs w:val="18"/>
              </w:rPr>
              <w:t>Modanese</w:t>
            </w:r>
            <w:proofErr w:type="spellEnd"/>
            <w:r w:rsidRPr="00804D68">
              <w:rPr>
                <w:rFonts w:eastAsia="Times New Roman"/>
                <w:sz w:val="18"/>
                <w:szCs w:val="18"/>
              </w:rPr>
              <w:t xml:space="preserve"> c. Italie</w:t>
            </w:r>
          </w:p>
          <w:p w14:paraId="456B7412" w14:textId="77777777" w:rsidR="00ED1A94" w:rsidRPr="00804D68" w:rsidRDefault="00ED1A94" w:rsidP="00804D68">
            <w:pPr>
              <w:rPr>
                <w:rFonts w:eastAsia="Times New Roman"/>
                <w:sz w:val="18"/>
                <w:szCs w:val="18"/>
              </w:rPr>
            </w:pPr>
            <w:r w:rsidRPr="00804D68">
              <w:rPr>
                <w:rFonts w:eastAsia="Times New Roman"/>
                <w:sz w:val="18"/>
                <w:szCs w:val="18"/>
              </w:rPr>
              <w:t>05/11/2019</w:t>
            </w:r>
          </w:p>
          <w:p w14:paraId="46509F4B" w14:textId="77777777" w:rsidR="00ED1A94" w:rsidRPr="00804D68" w:rsidRDefault="00ED1A94" w:rsidP="00804D68">
            <w:pPr>
              <w:rPr>
                <w:rFonts w:eastAsia="Times New Roman"/>
                <w:sz w:val="18"/>
                <w:szCs w:val="18"/>
              </w:rPr>
            </w:pPr>
          </w:p>
        </w:tc>
        <w:tc>
          <w:tcPr>
            <w:tcW w:w="2268" w:type="dxa"/>
            <w:hideMark/>
          </w:tcPr>
          <w:p w14:paraId="1DFBE866" w14:textId="77777777" w:rsidR="00ED1A94" w:rsidRPr="00804D68" w:rsidRDefault="00ED1A94" w:rsidP="00804D68">
            <w:pPr>
              <w:rPr>
                <w:rFonts w:eastAsia="Times New Roman"/>
                <w:sz w:val="18"/>
                <w:szCs w:val="18"/>
                <w:lang w:val="it-IT"/>
              </w:rPr>
            </w:pPr>
            <w:r w:rsidRPr="00804D68">
              <w:rPr>
                <w:rFonts w:eastAsia="Times New Roman"/>
                <w:b/>
                <w:bCs/>
                <w:sz w:val="18"/>
                <w:szCs w:val="18"/>
                <w:lang w:val="it-IT"/>
              </w:rPr>
              <w:t>C. MODANESE</w:t>
            </w:r>
            <w:r w:rsidRPr="00804D68">
              <w:rPr>
                <w:rFonts w:eastAsia="Times New Roman"/>
                <w:sz w:val="18"/>
                <w:szCs w:val="18"/>
                <w:lang w:val="it-IT"/>
              </w:rPr>
              <w:br/>
              <w:t>2010</w:t>
            </w:r>
            <w:r w:rsidRPr="00804D68">
              <w:rPr>
                <w:rFonts w:eastAsia="Times New Roman"/>
                <w:sz w:val="18"/>
                <w:szCs w:val="18"/>
                <w:lang w:val="it-IT"/>
              </w:rPr>
              <w:br/>
            </w:r>
            <w:proofErr w:type="spellStart"/>
            <w:r w:rsidRPr="00804D68">
              <w:rPr>
                <w:rFonts w:eastAsia="Times New Roman"/>
                <w:sz w:val="18"/>
                <w:szCs w:val="18"/>
                <w:lang w:val="it-IT"/>
              </w:rPr>
              <w:t>italienne</w:t>
            </w:r>
            <w:proofErr w:type="spellEnd"/>
          </w:p>
          <w:p w14:paraId="640F56F6" w14:textId="77777777" w:rsidR="00ED1A94" w:rsidRPr="00804D68" w:rsidRDefault="00ED1A94" w:rsidP="00804D68">
            <w:pPr>
              <w:rPr>
                <w:rFonts w:eastAsia="Times New Roman"/>
                <w:sz w:val="18"/>
                <w:szCs w:val="18"/>
                <w:lang w:val="it-IT"/>
              </w:rPr>
            </w:pPr>
            <w:r w:rsidRPr="00804D68">
              <w:rPr>
                <w:rFonts w:eastAsia="Times New Roman"/>
                <w:sz w:val="18"/>
                <w:szCs w:val="18"/>
                <w:lang w:val="it-IT"/>
              </w:rPr>
              <w:br/>
            </w:r>
            <w:r w:rsidRPr="00804D68">
              <w:rPr>
                <w:rFonts w:eastAsia="Times New Roman"/>
                <w:b/>
                <w:bCs/>
                <w:sz w:val="18"/>
                <w:szCs w:val="18"/>
                <w:lang w:val="it-IT"/>
              </w:rPr>
              <w:t>A. MODANESE</w:t>
            </w:r>
            <w:r w:rsidRPr="00804D68">
              <w:rPr>
                <w:rFonts w:eastAsia="Times New Roman"/>
                <w:sz w:val="18"/>
                <w:szCs w:val="18"/>
                <w:lang w:val="it-IT"/>
              </w:rPr>
              <w:br/>
              <w:t>2010</w:t>
            </w:r>
            <w:r w:rsidRPr="00804D68">
              <w:rPr>
                <w:rFonts w:eastAsia="Times New Roman"/>
                <w:sz w:val="18"/>
                <w:szCs w:val="18"/>
                <w:lang w:val="it-IT"/>
              </w:rPr>
              <w:br/>
            </w:r>
            <w:proofErr w:type="spellStart"/>
            <w:r w:rsidRPr="00804D68">
              <w:rPr>
                <w:rFonts w:eastAsia="Times New Roman"/>
                <w:sz w:val="18"/>
                <w:szCs w:val="18"/>
                <w:lang w:val="it-IT"/>
              </w:rPr>
              <w:t>italienne</w:t>
            </w:r>
            <w:proofErr w:type="spellEnd"/>
          </w:p>
          <w:p w14:paraId="3B880744" w14:textId="77777777" w:rsidR="00ED1A94" w:rsidRPr="00804D68" w:rsidRDefault="00ED1A94" w:rsidP="00804D68">
            <w:pPr>
              <w:rPr>
                <w:rFonts w:eastAsia="Times New Roman"/>
                <w:b/>
                <w:bCs/>
                <w:sz w:val="18"/>
                <w:szCs w:val="18"/>
                <w:lang w:val="it-IT"/>
              </w:rPr>
            </w:pPr>
          </w:p>
        </w:tc>
        <w:tc>
          <w:tcPr>
            <w:tcW w:w="1701" w:type="dxa"/>
            <w:hideMark/>
          </w:tcPr>
          <w:p w14:paraId="6C8B84C1" w14:textId="77777777" w:rsidR="00ED1A94" w:rsidRPr="00804D68" w:rsidRDefault="00ED1A94" w:rsidP="00804D68">
            <w:pPr>
              <w:rPr>
                <w:rFonts w:eastAsia="Times New Roman"/>
                <w:sz w:val="18"/>
                <w:szCs w:val="18"/>
              </w:rPr>
            </w:pPr>
            <w:r w:rsidRPr="00804D68">
              <w:rPr>
                <w:rFonts w:eastAsia="Times New Roman"/>
                <w:sz w:val="18"/>
                <w:szCs w:val="18"/>
              </w:rPr>
              <w:t>Massimo CLARA</w:t>
            </w:r>
          </w:p>
        </w:tc>
        <w:tc>
          <w:tcPr>
            <w:tcW w:w="8080" w:type="dxa"/>
          </w:tcPr>
          <w:p w14:paraId="3F70E423" w14:textId="473089E8" w:rsidR="00ED1A94" w:rsidRPr="00804D68" w:rsidRDefault="00ED1A94" w:rsidP="00804D68">
            <w:pPr>
              <w:jc w:val="both"/>
              <w:rPr>
                <w:rFonts w:eastAsia="Times New Roman"/>
                <w:sz w:val="18"/>
                <w:szCs w:val="18"/>
              </w:rPr>
            </w:pPr>
            <w:r w:rsidRPr="00804D68">
              <w:rPr>
                <w:rFonts w:eastAsia="Times New Roman"/>
                <w:sz w:val="18"/>
                <w:szCs w:val="18"/>
              </w:rPr>
              <w:t>En 2008, L.M. et R.B., deux ressortissants italiens, se marièrent à Toronto. En 2009, ils y conclurent un contrat de GPA. Un embryon issu d’un ovule d’une donneuse anonyme et du sperme de L.M. fut implanté dans l’utérus d’une mère porteuse. Les requérants naquirent en avril 2010. Deux certificats de naissance furent établis.</w:t>
            </w:r>
          </w:p>
          <w:p w14:paraId="68ECEEA6" w14:textId="003A551B" w:rsidR="00ED1A94" w:rsidRPr="00804D68" w:rsidRDefault="00ED1A94" w:rsidP="00804D68">
            <w:pPr>
              <w:jc w:val="both"/>
              <w:rPr>
                <w:rFonts w:eastAsia="Times New Roman"/>
                <w:sz w:val="18"/>
                <w:szCs w:val="18"/>
              </w:rPr>
            </w:pPr>
            <w:r w:rsidRPr="00804D68">
              <w:rPr>
                <w:rFonts w:eastAsia="Times New Roman"/>
                <w:sz w:val="18"/>
                <w:szCs w:val="18"/>
              </w:rPr>
              <w:t>Le 12 janvier 2011, la cour de justice d’Ontario déclara que les deux hommes étaient les parents des enfants et ordonna rectification des certificats de naissance.</w:t>
            </w:r>
          </w:p>
          <w:p w14:paraId="648C51A2" w14:textId="6C3FB81D" w:rsidR="00ED1A94" w:rsidRPr="00804D68" w:rsidRDefault="00ED1A94" w:rsidP="00804D68">
            <w:pPr>
              <w:jc w:val="both"/>
              <w:rPr>
                <w:rFonts w:eastAsia="Times New Roman"/>
                <w:sz w:val="18"/>
                <w:szCs w:val="18"/>
              </w:rPr>
            </w:pPr>
            <w:r w:rsidRPr="00804D68">
              <w:rPr>
                <w:rFonts w:eastAsia="Times New Roman"/>
                <w:sz w:val="18"/>
                <w:szCs w:val="18"/>
              </w:rPr>
              <w:t>Le 4 juillet 2016, L.M. et R.B. demandèrent à l’officier de l’état civil de Trente la reconnaissance de la décision canadienne et la transcription dans le registre de l’état civil du certificat amendé mentionnant le nom de R.B.</w:t>
            </w:r>
          </w:p>
          <w:p w14:paraId="7624B34D" w14:textId="6761F636" w:rsidR="00ED1A94" w:rsidRPr="00804D68" w:rsidRDefault="00ED1A94" w:rsidP="00804D68">
            <w:pPr>
              <w:jc w:val="both"/>
              <w:rPr>
                <w:rFonts w:eastAsia="Times New Roman"/>
                <w:sz w:val="18"/>
                <w:szCs w:val="18"/>
              </w:rPr>
            </w:pPr>
            <w:r w:rsidRPr="00804D68">
              <w:rPr>
                <w:rFonts w:eastAsia="Times New Roman"/>
                <w:sz w:val="18"/>
                <w:szCs w:val="18"/>
              </w:rPr>
              <w:t>Par décision du 31 mai 2016, le bureau de l’état civil refusa de de transcrire la décision canadienne dans les registres d’état civil au motif qu’une telle transcription était contraire à l’ordre public.</w:t>
            </w:r>
          </w:p>
          <w:p w14:paraId="78FF900C" w14:textId="19552728" w:rsidR="00ED1A94" w:rsidRPr="00804D68" w:rsidRDefault="00ED1A94" w:rsidP="00804D68">
            <w:pPr>
              <w:jc w:val="both"/>
              <w:rPr>
                <w:rFonts w:eastAsia="Times New Roman"/>
                <w:sz w:val="18"/>
                <w:szCs w:val="18"/>
              </w:rPr>
            </w:pPr>
            <w:r w:rsidRPr="00804D68">
              <w:rPr>
                <w:rFonts w:eastAsia="Times New Roman"/>
                <w:sz w:val="18"/>
                <w:szCs w:val="18"/>
              </w:rPr>
              <w:t>L.M. et R.B. introduisirent un recours devant la cour d’appel de Trente.</w:t>
            </w:r>
          </w:p>
          <w:p w14:paraId="7F461EF5" w14:textId="14404C80" w:rsidR="00ED1A94" w:rsidRPr="00804D68" w:rsidRDefault="00ED1A94" w:rsidP="00804D68">
            <w:pPr>
              <w:jc w:val="both"/>
              <w:rPr>
                <w:rFonts w:eastAsia="Times New Roman"/>
                <w:sz w:val="18"/>
                <w:szCs w:val="18"/>
              </w:rPr>
            </w:pPr>
            <w:r w:rsidRPr="00804D68">
              <w:rPr>
                <w:rFonts w:eastAsia="Times New Roman"/>
                <w:sz w:val="18"/>
                <w:szCs w:val="18"/>
              </w:rPr>
              <w:t>Par une décision du 23 février 2017, la cour d’appel reconnut la décision canadienne du 12 janvier 2011.</w:t>
            </w:r>
          </w:p>
          <w:p w14:paraId="401E8DEC" w14:textId="77777777" w:rsidR="00ED1A94" w:rsidRPr="00804D68" w:rsidRDefault="00ED1A94" w:rsidP="00804D68">
            <w:pPr>
              <w:jc w:val="both"/>
              <w:rPr>
                <w:rFonts w:eastAsia="Times New Roman"/>
                <w:sz w:val="18"/>
                <w:szCs w:val="18"/>
              </w:rPr>
            </w:pPr>
            <w:r w:rsidRPr="00804D68">
              <w:rPr>
                <w:rFonts w:eastAsia="Times New Roman"/>
                <w:sz w:val="18"/>
                <w:szCs w:val="18"/>
              </w:rPr>
              <w:t xml:space="preserve">Le 15 mars 2017, le procureur se </w:t>
            </w:r>
            <w:proofErr w:type="spellStart"/>
            <w:r w:rsidRPr="00804D68">
              <w:rPr>
                <w:rFonts w:eastAsia="Times New Roman"/>
                <w:sz w:val="18"/>
                <w:szCs w:val="18"/>
              </w:rPr>
              <w:t>pourvut</w:t>
            </w:r>
            <w:proofErr w:type="spellEnd"/>
            <w:r w:rsidRPr="00804D68">
              <w:rPr>
                <w:rFonts w:eastAsia="Times New Roman"/>
                <w:sz w:val="18"/>
                <w:szCs w:val="18"/>
              </w:rPr>
              <w:t xml:space="preserve"> en cassation.</w:t>
            </w:r>
          </w:p>
          <w:p w14:paraId="6F376661" w14:textId="16A2F73A" w:rsidR="00ED1A94" w:rsidRPr="00804D68" w:rsidRDefault="00ED1A94" w:rsidP="00804D68">
            <w:pPr>
              <w:jc w:val="both"/>
              <w:rPr>
                <w:rFonts w:eastAsia="Times New Roman"/>
                <w:sz w:val="18"/>
                <w:szCs w:val="18"/>
              </w:rPr>
            </w:pPr>
            <w:r w:rsidRPr="00804D68">
              <w:rPr>
                <w:rFonts w:eastAsia="Times New Roman"/>
                <w:sz w:val="18"/>
                <w:szCs w:val="18"/>
              </w:rPr>
              <w:t>Par un arrêt du 8 mai 2019, la Cour de cassation accueillit le pourvoi, annula la transcription et rappela qu’il était possible de protéger le lien parental par le recours à d’autres instruments juridiques tels que l’adoption dans les cas particuliers prévue par l’article 44 alinéa 1 de la loi n</w:t>
            </w:r>
            <w:r w:rsidRPr="00804D68">
              <w:rPr>
                <w:rFonts w:eastAsia="Times New Roman"/>
                <w:sz w:val="18"/>
                <w:szCs w:val="18"/>
                <w:vertAlign w:val="superscript"/>
              </w:rPr>
              <w:t>o</w:t>
            </w:r>
            <w:r w:rsidRPr="00804D68">
              <w:rPr>
                <w:rFonts w:eastAsia="Times New Roman"/>
                <w:sz w:val="18"/>
                <w:szCs w:val="18"/>
              </w:rPr>
              <w:t xml:space="preserve"> 184 de 1983.</w:t>
            </w:r>
          </w:p>
        </w:tc>
      </w:tr>
      <w:tr w:rsidR="00ED1A94" w:rsidRPr="00804D68" w14:paraId="36063B1B" w14:textId="77777777" w:rsidTr="00427C1A">
        <w:tc>
          <w:tcPr>
            <w:tcW w:w="709" w:type="dxa"/>
            <w:hideMark/>
          </w:tcPr>
          <w:p w14:paraId="5DBD364F" w14:textId="77777777" w:rsidR="00ED1A94" w:rsidRPr="00804D68" w:rsidRDefault="00ED1A94" w:rsidP="00804D68">
            <w:pPr>
              <w:rPr>
                <w:rFonts w:eastAsia="Times New Roman"/>
                <w:sz w:val="18"/>
                <w:szCs w:val="18"/>
              </w:rPr>
            </w:pPr>
            <w:r w:rsidRPr="00804D68">
              <w:rPr>
                <w:rFonts w:eastAsia="Times New Roman"/>
                <w:sz w:val="18"/>
                <w:szCs w:val="18"/>
              </w:rPr>
              <w:t>2.</w:t>
            </w:r>
          </w:p>
        </w:tc>
        <w:tc>
          <w:tcPr>
            <w:tcW w:w="1985" w:type="dxa"/>
            <w:hideMark/>
          </w:tcPr>
          <w:p w14:paraId="35DCC54F" w14:textId="5A5DFA97" w:rsidR="00ED1A94" w:rsidRPr="00804D68" w:rsidRDefault="00ED1A94" w:rsidP="00804D68">
            <w:pPr>
              <w:rPr>
                <w:rFonts w:eastAsia="Times New Roman"/>
                <w:sz w:val="18"/>
                <w:szCs w:val="18"/>
              </w:rPr>
            </w:pPr>
            <w:r w:rsidRPr="00804D68">
              <w:rPr>
                <w:rFonts w:eastAsia="Times New Roman"/>
                <w:sz w:val="18"/>
                <w:szCs w:val="18"/>
              </w:rPr>
              <w:t>12109/20</w:t>
            </w:r>
          </w:p>
          <w:p w14:paraId="5E4F1055" w14:textId="62635D54" w:rsidR="00ED1A94" w:rsidRPr="00804D68" w:rsidRDefault="00ED1A94" w:rsidP="00804D68">
            <w:pPr>
              <w:rPr>
                <w:rFonts w:eastAsia="Times New Roman"/>
                <w:sz w:val="18"/>
                <w:szCs w:val="18"/>
              </w:rPr>
            </w:pPr>
            <w:r w:rsidRPr="00804D68">
              <w:rPr>
                <w:rFonts w:eastAsia="Times New Roman"/>
                <w:sz w:val="18"/>
                <w:szCs w:val="18"/>
              </w:rPr>
              <w:t>Bini et autres c. Italie</w:t>
            </w:r>
          </w:p>
          <w:p w14:paraId="1A326ED0" w14:textId="77777777" w:rsidR="00ED1A94" w:rsidRPr="00804D68" w:rsidRDefault="00ED1A94" w:rsidP="00804D68">
            <w:pPr>
              <w:rPr>
                <w:rFonts w:eastAsia="Times New Roman"/>
                <w:sz w:val="18"/>
                <w:szCs w:val="18"/>
              </w:rPr>
            </w:pPr>
            <w:r w:rsidRPr="00804D68">
              <w:rPr>
                <w:rFonts w:eastAsia="Times New Roman"/>
                <w:sz w:val="18"/>
                <w:szCs w:val="18"/>
              </w:rPr>
              <w:t>25/02/2020</w:t>
            </w:r>
          </w:p>
          <w:p w14:paraId="1BD1E48D" w14:textId="77777777" w:rsidR="00ED1A94" w:rsidRPr="00804D68" w:rsidRDefault="00ED1A94" w:rsidP="00804D68">
            <w:pPr>
              <w:rPr>
                <w:rFonts w:eastAsia="Times New Roman"/>
                <w:sz w:val="18"/>
                <w:szCs w:val="18"/>
              </w:rPr>
            </w:pPr>
          </w:p>
        </w:tc>
        <w:tc>
          <w:tcPr>
            <w:tcW w:w="2268" w:type="dxa"/>
            <w:hideMark/>
          </w:tcPr>
          <w:p w14:paraId="5E39B788" w14:textId="77777777" w:rsidR="00ED1A94" w:rsidRPr="00804D68" w:rsidRDefault="00ED1A94" w:rsidP="00804D68">
            <w:pPr>
              <w:rPr>
                <w:rFonts w:eastAsia="Times New Roman"/>
                <w:b/>
                <w:bCs/>
                <w:sz w:val="18"/>
                <w:szCs w:val="18"/>
                <w:lang w:val="it-IT"/>
              </w:rPr>
            </w:pPr>
            <w:r w:rsidRPr="00804D68">
              <w:rPr>
                <w:rFonts w:eastAsia="Times New Roman"/>
                <w:b/>
                <w:bCs/>
                <w:sz w:val="18"/>
                <w:szCs w:val="18"/>
                <w:lang w:val="it-IT"/>
              </w:rPr>
              <w:t>Federico</w:t>
            </w:r>
          </w:p>
          <w:p w14:paraId="6742D317" w14:textId="77777777" w:rsidR="00ED1A94" w:rsidRPr="00804D68" w:rsidRDefault="00ED1A94" w:rsidP="00804D68">
            <w:pPr>
              <w:rPr>
                <w:rFonts w:eastAsia="Times New Roman"/>
                <w:sz w:val="18"/>
                <w:szCs w:val="18"/>
                <w:lang w:val="it-IT"/>
              </w:rPr>
            </w:pPr>
            <w:r w:rsidRPr="00804D68">
              <w:rPr>
                <w:rFonts w:eastAsia="Times New Roman"/>
                <w:b/>
                <w:bCs/>
                <w:sz w:val="18"/>
                <w:szCs w:val="18"/>
                <w:lang w:val="it-IT"/>
              </w:rPr>
              <w:t>BINI</w:t>
            </w:r>
            <w:r w:rsidRPr="00804D68">
              <w:rPr>
                <w:rFonts w:eastAsia="Times New Roman"/>
                <w:sz w:val="18"/>
                <w:szCs w:val="18"/>
                <w:lang w:val="it-IT"/>
              </w:rPr>
              <w:br/>
              <w:t>1973</w:t>
            </w:r>
            <w:r w:rsidRPr="00804D68">
              <w:rPr>
                <w:rFonts w:eastAsia="Times New Roman"/>
                <w:sz w:val="18"/>
                <w:szCs w:val="18"/>
                <w:lang w:val="it-IT"/>
              </w:rPr>
              <w:br/>
            </w:r>
            <w:proofErr w:type="spellStart"/>
            <w:r w:rsidRPr="00804D68">
              <w:rPr>
                <w:rFonts w:eastAsia="Times New Roman"/>
                <w:sz w:val="18"/>
                <w:szCs w:val="18"/>
                <w:lang w:val="it-IT"/>
              </w:rPr>
              <w:t>italienne</w:t>
            </w:r>
            <w:proofErr w:type="spellEnd"/>
          </w:p>
          <w:p w14:paraId="09A90EC6" w14:textId="77777777" w:rsidR="00ED1A94" w:rsidRPr="00804D68" w:rsidRDefault="00ED1A94" w:rsidP="00804D68">
            <w:pPr>
              <w:rPr>
                <w:rFonts w:eastAsia="Times New Roman"/>
                <w:b/>
                <w:bCs/>
                <w:sz w:val="18"/>
                <w:szCs w:val="18"/>
                <w:lang w:val="it-IT"/>
              </w:rPr>
            </w:pPr>
            <w:r w:rsidRPr="00804D68">
              <w:rPr>
                <w:rFonts w:eastAsia="Times New Roman"/>
                <w:sz w:val="18"/>
                <w:szCs w:val="18"/>
                <w:lang w:val="it-IT"/>
              </w:rPr>
              <w:br/>
            </w:r>
            <w:r w:rsidRPr="00804D68">
              <w:rPr>
                <w:rFonts w:eastAsia="Times New Roman"/>
                <w:b/>
                <w:bCs/>
                <w:sz w:val="18"/>
                <w:szCs w:val="18"/>
                <w:lang w:val="it-IT"/>
              </w:rPr>
              <w:t>Vincenzo PASSARELLI</w:t>
            </w:r>
          </w:p>
          <w:p w14:paraId="35A8673F" w14:textId="77777777" w:rsidR="00ED1A94" w:rsidRPr="00804D68" w:rsidRDefault="00ED1A94" w:rsidP="00804D68">
            <w:pPr>
              <w:rPr>
                <w:rFonts w:eastAsia="Times New Roman"/>
                <w:sz w:val="18"/>
                <w:szCs w:val="18"/>
                <w:lang w:val="it-IT"/>
              </w:rPr>
            </w:pPr>
            <w:r w:rsidRPr="00804D68">
              <w:rPr>
                <w:rFonts w:eastAsia="Times New Roman"/>
                <w:sz w:val="18"/>
                <w:szCs w:val="18"/>
                <w:lang w:val="it-IT"/>
              </w:rPr>
              <w:t>1974</w:t>
            </w:r>
          </w:p>
          <w:p w14:paraId="188DA0E6" w14:textId="77777777" w:rsidR="00ED1A94" w:rsidRPr="00804D68" w:rsidRDefault="00ED1A94" w:rsidP="00804D68">
            <w:pPr>
              <w:rPr>
                <w:rFonts w:eastAsia="Times New Roman"/>
                <w:sz w:val="18"/>
                <w:szCs w:val="18"/>
              </w:rPr>
            </w:pPr>
            <w:r w:rsidRPr="00804D68">
              <w:rPr>
                <w:rFonts w:eastAsia="Times New Roman"/>
                <w:sz w:val="18"/>
                <w:szCs w:val="18"/>
              </w:rPr>
              <w:t>italienne</w:t>
            </w:r>
            <w:r w:rsidRPr="00804D68">
              <w:rPr>
                <w:rFonts w:eastAsia="Times New Roman"/>
                <w:sz w:val="18"/>
                <w:szCs w:val="18"/>
              </w:rPr>
              <w:br/>
            </w:r>
            <w:r w:rsidRPr="00804D68">
              <w:rPr>
                <w:rFonts w:eastAsia="Times New Roman"/>
                <w:sz w:val="18"/>
                <w:szCs w:val="18"/>
              </w:rPr>
              <w:br/>
            </w:r>
            <w:r w:rsidRPr="00804D68">
              <w:rPr>
                <w:rFonts w:eastAsia="Times New Roman"/>
                <w:b/>
                <w:bCs/>
                <w:sz w:val="18"/>
                <w:szCs w:val="18"/>
              </w:rPr>
              <w:t>D. PASSARELLI BINI</w:t>
            </w:r>
            <w:r w:rsidRPr="00804D68">
              <w:rPr>
                <w:rFonts w:eastAsia="Times New Roman"/>
                <w:sz w:val="18"/>
                <w:szCs w:val="18"/>
              </w:rPr>
              <w:br/>
              <w:t>2018</w:t>
            </w:r>
            <w:r w:rsidRPr="00804D68">
              <w:rPr>
                <w:rFonts w:eastAsia="Times New Roman"/>
                <w:sz w:val="18"/>
                <w:szCs w:val="18"/>
              </w:rPr>
              <w:br/>
              <w:t>italienne, américaine</w:t>
            </w:r>
            <w:r w:rsidRPr="00804D68">
              <w:rPr>
                <w:rFonts w:eastAsia="Times New Roman"/>
                <w:sz w:val="18"/>
                <w:szCs w:val="18"/>
              </w:rPr>
              <w:br/>
            </w:r>
            <w:r w:rsidRPr="00804D68">
              <w:rPr>
                <w:rFonts w:eastAsia="Times New Roman"/>
                <w:sz w:val="18"/>
                <w:szCs w:val="18"/>
              </w:rPr>
              <w:lastRenderedPageBreak/>
              <w:br/>
            </w:r>
            <w:r w:rsidRPr="00804D68">
              <w:rPr>
                <w:rFonts w:eastAsia="Times New Roman"/>
                <w:b/>
                <w:bCs/>
                <w:sz w:val="18"/>
                <w:szCs w:val="18"/>
              </w:rPr>
              <w:t>M. PASSARELLI BINI</w:t>
            </w:r>
            <w:r w:rsidRPr="00804D68">
              <w:rPr>
                <w:rFonts w:eastAsia="Times New Roman"/>
                <w:sz w:val="18"/>
                <w:szCs w:val="18"/>
              </w:rPr>
              <w:br/>
              <w:t>2018</w:t>
            </w:r>
            <w:r w:rsidRPr="00804D68">
              <w:rPr>
                <w:rFonts w:eastAsia="Times New Roman"/>
                <w:sz w:val="18"/>
                <w:szCs w:val="18"/>
              </w:rPr>
              <w:br/>
              <w:t>italienne, américaine</w:t>
            </w:r>
          </w:p>
          <w:p w14:paraId="0C625633" w14:textId="77777777" w:rsidR="00ED1A94" w:rsidRPr="00804D68" w:rsidRDefault="00ED1A94" w:rsidP="00804D68">
            <w:pPr>
              <w:rPr>
                <w:rFonts w:eastAsia="Times New Roman"/>
                <w:sz w:val="18"/>
                <w:szCs w:val="18"/>
              </w:rPr>
            </w:pPr>
          </w:p>
        </w:tc>
        <w:tc>
          <w:tcPr>
            <w:tcW w:w="1701" w:type="dxa"/>
            <w:hideMark/>
          </w:tcPr>
          <w:p w14:paraId="3391904F" w14:textId="77777777" w:rsidR="00ED1A94" w:rsidRPr="00804D68" w:rsidRDefault="00ED1A94" w:rsidP="00804D68">
            <w:pPr>
              <w:rPr>
                <w:rFonts w:eastAsia="Times New Roman"/>
                <w:sz w:val="18"/>
                <w:szCs w:val="18"/>
              </w:rPr>
            </w:pPr>
            <w:r w:rsidRPr="00804D68">
              <w:rPr>
                <w:rFonts w:eastAsia="Times New Roman"/>
                <w:sz w:val="18"/>
                <w:szCs w:val="18"/>
              </w:rPr>
              <w:lastRenderedPageBreak/>
              <w:t>Susanna LOLLINI</w:t>
            </w:r>
          </w:p>
        </w:tc>
        <w:tc>
          <w:tcPr>
            <w:tcW w:w="8080" w:type="dxa"/>
          </w:tcPr>
          <w:p w14:paraId="7259FFDC" w14:textId="77777777" w:rsidR="00ED1A94" w:rsidRPr="00804D68" w:rsidRDefault="00ED1A94" w:rsidP="00804D68">
            <w:pPr>
              <w:jc w:val="both"/>
              <w:rPr>
                <w:rFonts w:eastAsia="Times New Roman"/>
                <w:sz w:val="18"/>
                <w:szCs w:val="18"/>
              </w:rPr>
            </w:pPr>
            <w:r w:rsidRPr="00804D68">
              <w:rPr>
                <w:rFonts w:eastAsia="Times New Roman"/>
                <w:sz w:val="18"/>
                <w:szCs w:val="18"/>
              </w:rPr>
              <w:t>En 2009, les deux premiers requérants se marièrent en Espagne.</w:t>
            </w:r>
          </w:p>
          <w:p w14:paraId="01B9A0F9" w14:textId="568D491B" w:rsidR="00ED1A94" w:rsidRPr="00804D68" w:rsidRDefault="00ED1A94" w:rsidP="00804D68">
            <w:pPr>
              <w:jc w:val="both"/>
              <w:rPr>
                <w:rFonts w:eastAsia="Times New Roman"/>
                <w:sz w:val="18"/>
                <w:szCs w:val="18"/>
              </w:rPr>
            </w:pPr>
            <w:r w:rsidRPr="00804D68">
              <w:rPr>
                <w:rFonts w:eastAsia="Times New Roman"/>
                <w:sz w:val="18"/>
                <w:szCs w:val="18"/>
              </w:rPr>
              <w:t>À une date non précisée, ils conclurent un contrat de GPA aux États-Unis. Un embryon issu d’un ovule d’une donneuse anonyme et du sperme des deux requérants fut implanté dans l’utérus d’une mère porteuse.</w:t>
            </w:r>
          </w:p>
          <w:p w14:paraId="49612249" w14:textId="2F05BDDD" w:rsidR="00ED1A94" w:rsidRPr="00804D68" w:rsidRDefault="00ED1A94" w:rsidP="00804D68">
            <w:pPr>
              <w:jc w:val="both"/>
              <w:rPr>
                <w:rFonts w:eastAsia="Times New Roman"/>
                <w:sz w:val="18"/>
                <w:szCs w:val="18"/>
              </w:rPr>
            </w:pPr>
            <w:r w:rsidRPr="00804D68">
              <w:rPr>
                <w:rFonts w:eastAsia="Times New Roman"/>
                <w:sz w:val="18"/>
                <w:szCs w:val="18"/>
              </w:rPr>
              <w:t>Les enfants naquirent en septembre 2018. Deux certificats de naissance furent établis avec l’indication du père biologique.</w:t>
            </w:r>
          </w:p>
          <w:p w14:paraId="2E6D1C58" w14:textId="37A97CA8" w:rsidR="00ED1A94" w:rsidRPr="00804D68" w:rsidRDefault="00ED1A94" w:rsidP="00804D68">
            <w:pPr>
              <w:jc w:val="both"/>
              <w:rPr>
                <w:rFonts w:eastAsia="Times New Roman"/>
                <w:sz w:val="18"/>
                <w:szCs w:val="18"/>
              </w:rPr>
            </w:pPr>
            <w:r w:rsidRPr="00804D68">
              <w:rPr>
                <w:rFonts w:eastAsia="Times New Roman"/>
                <w:sz w:val="18"/>
                <w:szCs w:val="18"/>
              </w:rPr>
              <w:t>Le 28 septembre 2018, les deux premiers requérants obtinrent la modification des actes de naissance américains et le nom du père d’intention fut ajouté. En janvier 2019, l’acte de naissance fut transcrit dans les registres de l’état civil de Pise, D. y étant désignée comme la fille du première requérant et M. comme la fille du deuxième requérant.</w:t>
            </w:r>
          </w:p>
          <w:p w14:paraId="2AE533F0" w14:textId="77777777" w:rsidR="00ED1A94" w:rsidRPr="00804D68" w:rsidRDefault="00ED1A94" w:rsidP="00804D68">
            <w:pPr>
              <w:jc w:val="both"/>
              <w:rPr>
                <w:rFonts w:eastAsia="Times New Roman"/>
                <w:sz w:val="18"/>
                <w:szCs w:val="18"/>
              </w:rPr>
            </w:pPr>
            <w:r w:rsidRPr="00804D68">
              <w:rPr>
                <w:rFonts w:eastAsia="Times New Roman"/>
                <w:sz w:val="18"/>
                <w:szCs w:val="18"/>
              </w:rPr>
              <w:t>Les requérants, compte tenu de l’arrêt de la Cour de cassation n</w:t>
            </w:r>
            <w:r w:rsidRPr="00804D68">
              <w:rPr>
                <w:rFonts w:eastAsia="Times New Roman"/>
                <w:sz w:val="18"/>
                <w:szCs w:val="18"/>
                <w:vertAlign w:val="superscript"/>
              </w:rPr>
              <w:t xml:space="preserve">o </w:t>
            </w:r>
            <w:r w:rsidRPr="00804D68">
              <w:rPr>
                <w:rFonts w:eastAsia="Times New Roman"/>
                <w:sz w:val="18"/>
                <w:szCs w:val="18"/>
              </w:rPr>
              <w:t>12193 de 2019, décidèrent de ne pas demander la rectification au tribunal.</w:t>
            </w:r>
          </w:p>
        </w:tc>
      </w:tr>
      <w:tr w:rsidR="00ED1A94" w:rsidRPr="00804D68" w14:paraId="4F4C399C" w14:textId="77777777" w:rsidTr="00427C1A">
        <w:tc>
          <w:tcPr>
            <w:tcW w:w="709" w:type="dxa"/>
            <w:hideMark/>
          </w:tcPr>
          <w:p w14:paraId="28164823" w14:textId="77777777" w:rsidR="00ED1A94" w:rsidRPr="00804D68" w:rsidRDefault="00ED1A94" w:rsidP="00804D68">
            <w:pPr>
              <w:rPr>
                <w:rFonts w:eastAsia="Times New Roman"/>
                <w:sz w:val="18"/>
                <w:szCs w:val="18"/>
              </w:rPr>
            </w:pPr>
            <w:r w:rsidRPr="00804D68">
              <w:rPr>
                <w:rFonts w:eastAsia="Times New Roman"/>
                <w:sz w:val="18"/>
                <w:szCs w:val="18"/>
              </w:rPr>
              <w:t>3.</w:t>
            </w:r>
          </w:p>
        </w:tc>
        <w:tc>
          <w:tcPr>
            <w:tcW w:w="1985" w:type="dxa"/>
            <w:hideMark/>
          </w:tcPr>
          <w:p w14:paraId="41C67D78" w14:textId="19003DA1" w:rsidR="00ED1A94" w:rsidRPr="00804D68" w:rsidRDefault="00ED1A94" w:rsidP="00804D68">
            <w:pPr>
              <w:rPr>
                <w:rFonts w:eastAsia="Times New Roman"/>
                <w:sz w:val="18"/>
                <w:szCs w:val="18"/>
              </w:rPr>
            </w:pPr>
            <w:r w:rsidRPr="00804D68">
              <w:rPr>
                <w:rFonts w:eastAsia="Times New Roman"/>
                <w:sz w:val="18"/>
                <w:szCs w:val="18"/>
              </w:rPr>
              <w:t>45426/21</w:t>
            </w:r>
          </w:p>
          <w:p w14:paraId="7B777556" w14:textId="3949025C" w:rsidR="00ED1A94" w:rsidRPr="00804D68" w:rsidRDefault="00ED1A94" w:rsidP="00804D68">
            <w:pPr>
              <w:rPr>
                <w:rFonts w:eastAsia="Times New Roman"/>
                <w:sz w:val="18"/>
                <w:szCs w:val="18"/>
              </w:rPr>
            </w:pPr>
            <w:r w:rsidRPr="00804D68">
              <w:rPr>
                <w:rFonts w:eastAsia="Times New Roman"/>
                <w:sz w:val="18"/>
                <w:szCs w:val="18"/>
              </w:rPr>
              <w:t>B.K. et autres c. Italie</w:t>
            </w:r>
          </w:p>
          <w:p w14:paraId="30DD693E" w14:textId="77777777" w:rsidR="00ED1A94" w:rsidRPr="00804D68" w:rsidRDefault="00ED1A94" w:rsidP="00804D68">
            <w:pPr>
              <w:rPr>
                <w:rFonts w:eastAsia="Times New Roman"/>
                <w:sz w:val="18"/>
                <w:szCs w:val="18"/>
              </w:rPr>
            </w:pPr>
            <w:r w:rsidRPr="00804D68">
              <w:rPr>
                <w:rFonts w:eastAsia="Times New Roman"/>
                <w:sz w:val="18"/>
                <w:szCs w:val="18"/>
              </w:rPr>
              <w:t>06/09/2021</w:t>
            </w:r>
          </w:p>
        </w:tc>
        <w:tc>
          <w:tcPr>
            <w:tcW w:w="2268" w:type="dxa"/>
            <w:hideMark/>
          </w:tcPr>
          <w:p w14:paraId="391B32E2" w14:textId="77777777" w:rsidR="00ED1A94" w:rsidRPr="00804D68" w:rsidRDefault="00ED1A94" w:rsidP="00804D68">
            <w:pPr>
              <w:rPr>
                <w:rFonts w:eastAsia="Times New Roman"/>
                <w:sz w:val="18"/>
                <w:szCs w:val="18"/>
              </w:rPr>
            </w:pPr>
            <w:r w:rsidRPr="00804D68">
              <w:rPr>
                <w:rFonts w:eastAsia="Times New Roman"/>
                <w:b/>
                <w:bCs/>
                <w:sz w:val="18"/>
                <w:szCs w:val="18"/>
              </w:rPr>
              <w:t>B.K.</w:t>
            </w:r>
            <w:r w:rsidRPr="00804D68">
              <w:rPr>
                <w:rFonts w:eastAsia="Times New Roman"/>
                <w:sz w:val="18"/>
                <w:szCs w:val="18"/>
              </w:rPr>
              <w:br/>
              <w:t>1983</w:t>
            </w:r>
            <w:r w:rsidRPr="00804D68">
              <w:rPr>
                <w:rFonts w:eastAsia="Times New Roman"/>
                <w:sz w:val="18"/>
                <w:szCs w:val="18"/>
              </w:rPr>
              <w:br/>
              <w:t>bulgare, italienne</w:t>
            </w:r>
            <w:r w:rsidRPr="00804D68">
              <w:rPr>
                <w:rFonts w:eastAsia="Times New Roman"/>
                <w:sz w:val="18"/>
                <w:szCs w:val="18"/>
              </w:rPr>
              <w:br/>
            </w:r>
            <w:r w:rsidRPr="00804D68">
              <w:rPr>
                <w:rFonts w:eastAsia="Times New Roman"/>
                <w:sz w:val="18"/>
                <w:szCs w:val="18"/>
              </w:rPr>
              <w:br/>
            </w:r>
            <w:r w:rsidRPr="00804D68">
              <w:rPr>
                <w:rFonts w:eastAsia="Times New Roman"/>
                <w:b/>
                <w:bCs/>
                <w:sz w:val="18"/>
                <w:szCs w:val="18"/>
              </w:rPr>
              <w:t>G.K.B.</w:t>
            </w:r>
            <w:r w:rsidRPr="00804D68">
              <w:rPr>
                <w:rFonts w:eastAsia="Times New Roman"/>
                <w:sz w:val="18"/>
                <w:szCs w:val="18"/>
              </w:rPr>
              <w:br/>
              <w:t>2018</w:t>
            </w:r>
            <w:r w:rsidRPr="00804D68">
              <w:rPr>
                <w:rFonts w:eastAsia="Times New Roman"/>
                <w:sz w:val="18"/>
                <w:szCs w:val="18"/>
              </w:rPr>
              <w:br/>
              <w:t>italienne, américaine</w:t>
            </w:r>
            <w:r w:rsidRPr="00804D68">
              <w:rPr>
                <w:rFonts w:eastAsia="Times New Roman"/>
                <w:sz w:val="18"/>
                <w:szCs w:val="18"/>
              </w:rPr>
              <w:br/>
            </w:r>
            <w:r w:rsidRPr="00804D68">
              <w:rPr>
                <w:rFonts w:eastAsia="Times New Roman"/>
                <w:sz w:val="18"/>
                <w:szCs w:val="18"/>
              </w:rPr>
              <w:br/>
            </w:r>
            <w:r w:rsidRPr="00804D68">
              <w:rPr>
                <w:rFonts w:eastAsia="Times New Roman"/>
                <w:b/>
                <w:bCs/>
                <w:sz w:val="18"/>
                <w:szCs w:val="18"/>
              </w:rPr>
              <w:t>R.K.B.</w:t>
            </w:r>
            <w:r w:rsidRPr="00804D68">
              <w:rPr>
                <w:rFonts w:eastAsia="Times New Roman"/>
                <w:sz w:val="18"/>
                <w:szCs w:val="18"/>
              </w:rPr>
              <w:br/>
              <w:t>2018</w:t>
            </w:r>
            <w:r w:rsidRPr="00804D68">
              <w:rPr>
                <w:rFonts w:eastAsia="Times New Roman"/>
                <w:sz w:val="18"/>
                <w:szCs w:val="18"/>
              </w:rPr>
              <w:br/>
              <w:t>italienne, américaine</w:t>
            </w:r>
          </w:p>
        </w:tc>
        <w:tc>
          <w:tcPr>
            <w:tcW w:w="1701" w:type="dxa"/>
            <w:hideMark/>
          </w:tcPr>
          <w:p w14:paraId="637BED41" w14:textId="77777777" w:rsidR="00ED1A94" w:rsidRPr="00804D68" w:rsidRDefault="00ED1A94" w:rsidP="00804D68">
            <w:pPr>
              <w:rPr>
                <w:rFonts w:eastAsia="Times New Roman"/>
                <w:sz w:val="18"/>
                <w:szCs w:val="18"/>
              </w:rPr>
            </w:pPr>
            <w:r w:rsidRPr="00804D68">
              <w:rPr>
                <w:rFonts w:eastAsia="Times New Roman"/>
                <w:sz w:val="18"/>
                <w:szCs w:val="18"/>
              </w:rPr>
              <w:t>Alexander SCHUSTER</w:t>
            </w:r>
          </w:p>
        </w:tc>
        <w:tc>
          <w:tcPr>
            <w:tcW w:w="8080" w:type="dxa"/>
          </w:tcPr>
          <w:p w14:paraId="2449B8B2" w14:textId="6FA8575B" w:rsidR="00ED1A94" w:rsidRPr="00804D68" w:rsidRDefault="00ED1A94" w:rsidP="00804D68">
            <w:pPr>
              <w:jc w:val="both"/>
              <w:rPr>
                <w:rFonts w:eastAsia="Times New Roman"/>
                <w:sz w:val="18"/>
                <w:szCs w:val="18"/>
              </w:rPr>
            </w:pPr>
            <w:r w:rsidRPr="00804D68">
              <w:rPr>
                <w:rFonts w:eastAsia="Times New Roman"/>
                <w:sz w:val="18"/>
                <w:szCs w:val="18"/>
              </w:rPr>
              <w:t>Le premier requérant, B.K., et son compagnon décidèrent, dans le cadre d’un projet commun, de recourir à la GPA aux États-Unis. Avant la naissance, la Cour supérieure de Californie prononça un jugement déclaratif de paternité à l’égard du première requérant et de son compagnon.</w:t>
            </w:r>
          </w:p>
          <w:p w14:paraId="3B3F5596" w14:textId="77777777" w:rsidR="00ED1A94" w:rsidRPr="00804D68" w:rsidRDefault="00ED1A94" w:rsidP="00804D68">
            <w:pPr>
              <w:jc w:val="both"/>
              <w:rPr>
                <w:rFonts w:eastAsia="Times New Roman"/>
                <w:sz w:val="18"/>
                <w:szCs w:val="18"/>
              </w:rPr>
            </w:pPr>
            <w:r w:rsidRPr="00804D68">
              <w:rPr>
                <w:rFonts w:eastAsia="Times New Roman"/>
                <w:sz w:val="18"/>
                <w:szCs w:val="18"/>
              </w:rPr>
              <w:t>Les deuxième et troisième requérants naquirent en février 2018.</w:t>
            </w:r>
          </w:p>
          <w:p w14:paraId="07C33BEE" w14:textId="77777777" w:rsidR="00ED1A94" w:rsidRPr="00804D68" w:rsidRDefault="00ED1A94" w:rsidP="00804D68">
            <w:pPr>
              <w:jc w:val="both"/>
              <w:rPr>
                <w:rFonts w:eastAsia="Times New Roman"/>
                <w:sz w:val="18"/>
                <w:szCs w:val="18"/>
              </w:rPr>
            </w:pPr>
            <w:r w:rsidRPr="00804D68">
              <w:rPr>
                <w:rFonts w:eastAsia="Times New Roman"/>
                <w:sz w:val="18"/>
                <w:szCs w:val="18"/>
              </w:rPr>
              <w:t>Les actes de naissance furent établis, avec mention des noms des deux pères.</w:t>
            </w:r>
          </w:p>
          <w:p w14:paraId="67DEC42B" w14:textId="18F08A83" w:rsidR="00ED1A94" w:rsidRPr="00804D68" w:rsidRDefault="00ED1A94" w:rsidP="00804D68">
            <w:pPr>
              <w:jc w:val="both"/>
              <w:rPr>
                <w:rFonts w:eastAsia="Times New Roman"/>
                <w:sz w:val="18"/>
                <w:szCs w:val="18"/>
              </w:rPr>
            </w:pPr>
            <w:r w:rsidRPr="00804D68">
              <w:rPr>
                <w:rFonts w:eastAsia="Times New Roman"/>
                <w:sz w:val="18"/>
                <w:szCs w:val="18"/>
              </w:rPr>
              <w:t xml:space="preserve">En avril 2019, le premier requérant et son compagnon obtinrent la transcription des certificats de naissance des enfants dans les registres d’état civil de la commune de </w:t>
            </w:r>
            <w:proofErr w:type="spellStart"/>
            <w:r w:rsidRPr="00804D68">
              <w:rPr>
                <w:rFonts w:eastAsia="Times New Roman"/>
                <w:sz w:val="18"/>
                <w:szCs w:val="18"/>
              </w:rPr>
              <w:t>Gabicce</w:t>
            </w:r>
            <w:proofErr w:type="spellEnd"/>
            <w:r w:rsidRPr="00804D68">
              <w:rPr>
                <w:rFonts w:eastAsia="Times New Roman"/>
                <w:sz w:val="18"/>
                <w:szCs w:val="18"/>
              </w:rPr>
              <w:t xml:space="preserve"> Mare.</w:t>
            </w:r>
          </w:p>
          <w:p w14:paraId="681893FD" w14:textId="64022F25" w:rsidR="00ED1A94" w:rsidRPr="00804D68" w:rsidRDefault="00ED1A94" w:rsidP="00804D68">
            <w:pPr>
              <w:jc w:val="both"/>
              <w:rPr>
                <w:rFonts w:eastAsia="Times New Roman"/>
                <w:sz w:val="18"/>
                <w:szCs w:val="18"/>
              </w:rPr>
            </w:pPr>
            <w:r w:rsidRPr="00804D68">
              <w:rPr>
                <w:rFonts w:eastAsia="Times New Roman"/>
                <w:sz w:val="18"/>
                <w:szCs w:val="18"/>
              </w:rPr>
              <w:t>Le 10 mai 2018, le procureur de Pesaro introduisit devant le tribunal un recours aux fins de vérification de la filiation des enfants et, le cas échéant, d’annulation de la transcription.</w:t>
            </w:r>
          </w:p>
          <w:p w14:paraId="11F2401B" w14:textId="77777777" w:rsidR="00ED1A94" w:rsidRPr="00804D68" w:rsidRDefault="00ED1A94" w:rsidP="00804D68">
            <w:pPr>
              <w:jc w:val="both"/>
              <w:rPr>
                <w:rFonts w:eastAsia="Times New Roman"/>
                <w:sz w:val="18"/>
                <w:szCs w:val="18"/>
              </w:rPr>
            </w:pPr>
            <w:r w:rsidRPr="00804D68">
              <w:rPr>
                <w:rFonts w:eastAsia="Times New Roman"/>
                <w:sz w:val="18"/>
                <w:szCs w:val="18"/>
              </w:rPr>
              <w:t>Le premier requérant affirma être le père biologique des enfants.</w:t>
            </w:r>
          </w:p>
          <w:p w14:paraId="15921491" w14:textId="64895623" w:rsidR="00ED1A94" w:rsidRPr="00804D68" w:rsidRDefault="00ED1A94" w:rsidP="00804D68">
            <w:pPr>
              <w:jc w:val="both"/>
              <w:rPr>
                <w:rFonts w:eastAsia="Times New Roman"/>
                <w:sz w:val="18"/>
                <w:szCs w:val="18"/>
              </w:rPr>
            </w:pPr>
            <w:r w:rsidRPr="00804D68">
              <w:rPr>
                <w:rFonts w:eastAsia="Times New Roman"/>
                <w:sz w:val="18"/>
                <w:szCs w:val="18"/>
              </w:rPr>
              <w:t>Le 2 juillet 2019, le tribunal de Pesaro, se basant sur l’arrêt de la Cour de cassation n</w:t>
            </w:r>
            <w:r w:rsidRPr="00804D68">
              <w:rPr>
                <w:rFonts w:eastAsia="Times New Roman"/>
                <w:sz w:val="18"/>
                <w:szCs w:val="18"/>
                <w:vertAlign w:val="superscript"/>
              </w:rPr>
              <w:t>o</w:t>
            </w:r>
            <w:r w:rsidRPr="00804D68">
              <w:rPr>
                <w:rFonts w:eastAsia="Times New Roman"/>
                <w:sz w:val="18"/>
                <w:szCs w:val="18"/>
              </w:rPr>
              <w:t xml:space="preserve"> 12193 de 2019, accueillit le recours du procureur et ordonna que les actes de naissance fussent rectifiés de façon à ne mentionner que le père biologique.</w:t>
            </w:r>
          </w:p>
          <w:p w14:paraId="202BC077" w14:textId="22E445BA" w:rsidR="00ED1A94" w:rsidRPr="00804D68" w:rsidRDefault="00ED1A94" w:rsidP="00804D68">
            <w:pPr>
              <w:jc w:val="both"/>
              <w:rPr>
                <w:rFonts w:eastAsia="Times New Roman"/>
                <w:sz w:val="18"/>
                <w:szCs w:val="18"/>
              </w:rPr>
            </w:pPr>
            <w:r w:rsidRPr="00804D68">
              <w:rPr>
                <w:rFonts w:eastAsia="Times New Roman"/>
                <w:sz w:val="18"/>
                <w:szCs w:val="18"/>
              </w:rPr>
              <w:t>Les requérants demandèrent à Cour de cassation qu’elle statuât sur la compétence du tribunal de Pesaro.</w:t>
            </w:r>
          </w:p>
          <w:p w14:paraId="49835B23" w14:textId="77777777" w:rsidR="00ED1A94" w:rsidRPr="00804D68" w:rsidRDefault="00ED1A94" w:rsidP="00804D68">
            <w:pPr>
              <w:jc w:val="both"/>
              <w:rPr>
                <w:rFonts w:eastAsia="Times New Roman"/>
                <w:sz w:val="18"/>
                <w:szCs w:val="18"/>
              </w:rPr>
            </w:pPr>
            <w:r w:rsidRPr="00804D68">
              <w:rPr>
                <w:rFonts w:eastAsia="Times New Roman"/>
                <w:sz w:val="18"/>
                <w:szCs w:val="18"/>
              </w:rPr>
              <w:t>Le recours fut rejeté le 29 septembre 2020.</w:t>
            </w:r>
          </w:p>
        </w:tc>
      </w:tr>
    </w:tbl>
    <w:p w14:paraId="3A4B0517" w14:textId="77777777" w:rsidR="00ED1A94" w:rsidRPr="00804D68" w:rsidRDefault="00ED1A94" w:rsidP="00804D68">
      <w:pPr>
        <w:rPr>
          <w:rFonts w:eastAsia="Times New Roman"/>
        </w:rPr>
      </w:pPr>
    </w:p>
    <w:sectPr w:rsidR="00ED1A94" w:rsidRPr="00804D68" w:rsidSect="00A61EAA">
      <w:headerReference w:type="first" r:id="rId17"/>
      <w:footnotePr>
        <w:numRestart w:val="eachPage"/>
      </w:footnotePr>
      <w:endnotePr>
        <w:numFmt w:val="decimal"/>
      </w:endnotePr>
      <w:pgSz w:w="16838" w:h="11906" w:orient="landscape"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2F97" w14:textId="77777777" w:rsidR="00521C24" w:rsidRPr="00ED1A94" w:rsidRDefault="00521C24" w:rsidP="006544C4">
      <w:r w:rsidRPr="00ED1A94">
        <w:separator/>
      </w:r>
    </w:p>
  </w:endnote>
  <w:endnote w:type="continuationSeparator" w:id="0">
    <w:p w14:paraId="045C2645" w14:textId="77777777" w:rsidR="00521C24" w:rsidRPr="00ED1A94" w:rsidRDefault="00521C24" w:rsidP="006544C4">
      <w:r w:rsidRPr="00ED1A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5E33" w14:textId="20E300DC" w:rsidR="00AF7102" w:rsidRPr="00ED1A94" w:rsidRDefault="00ED1A94"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23</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130C" w14:textId="08799943" w:rsidR="00AF7102" w:rsidRPr="00ED1A94" w:rsidRDefault="00ED1A94"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23</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537716"/>
      <w:docPartObj>
        <w:docPartGallery w:val="Page Numbers (Bottom of Page)"/>
        <w:docPartUnique/>
      </w:docPartObj>
    </w:sdtPr>
    <w:sdtEndPr>
      <w:rPr>
        <w:noProof/>
        <w:sz w:val="18"/>
        <w:szCs w:val="18"/>
      </w:rPr>
    </w:sdtEndPr>
    <w:sdtContent>
      <w:p w14:paraId="44CFA0E0" w14:textId="0161BBBA" w:rsidR="0015152D" w:rsidRPr="0015152D" w:rsidRDefault="0015152D">
        <w:pPr>
          <w:pStyle w:val="Pidipagina"/>
          <w:jc w:val="center"/>
          <w:rPr>
            <w:sz w:val="18"/>
            <w:szCs w:val="18"/>
          </w:rPr>
        </w:pPr>
        <w:r w:rsidRPr="0015152D">
          <w:rPr>
            <w:sz w:val="18"/>
            <w:szCs w:val="18"/>
          </w:rPr>
          <w:fldChar w:fldCharType="begin"/>
        </w:r>
        <w:r w:rsidRPr="0015152D">
          <w:rPr>
            <w:sz w:val="18"/>
            <w:szCs w:val="18"/>
          </w:rPr>
          <w:instrText xml:space="preserve"> PAGE   \* MERGEFORMAT </w:instrText>
        </w:r>
        <w:r w:rsidRPr="0015152D">
          <w:rPr>
            <w:sz w:val="18"/>
            <w:szCs w:val="18"/>
          </w:rPr>
          <w:fldChar w:fldCharType="separate"/>
        </w:r>
        <w:r w:rsidRPr="0015152D">
          <w:rPr>
            <w:noProof/>
            <w:sz w:val="18"/>
            <w:szCs w:val="18"/>
          </w:rPr>
          <w:t>2</w:t>
        </w:r>
        <w:r w:rsidRPr="0015152D">
          <w:rPr>
            <w:noProof/>
            <w:sz w:val="18"/>
            <w:szCs w:val="18"/>
          </w:rPr>
          <w:fldChar w:fldCharType="end"/>
        </w:r>
      </w:p>
    </w:sdtContent>
  </w:sdt>
  <w:p w14:paraId="10433CF4" w14:textId="15D222AC" w:rsidR="00112D62" w:rsidRPr="00ED1A94" w:rsidRDefault="00521C24"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2FF2" w14:textId="77777777" w:rsidR="00521C24" w:rsidRPr="00ED1A94" w:rsidRDefault="00521C24" w:rsidP="006544C4">
      <w:r w:rsidRPr="00ED1A94">
        <w:separator/>
      </w:r>
    </w:p>
  </w:footnote>
  <w:footnote w:type="continuationSeparator" w:id="0">
    <w:p w14:paraId="1814340D" w14:textId="77777777" w:rsidR="00521C24" w:rsidRPr="00ED1A94" w:rsidRDefault="00521C24" w:rsidP="006544C4">
      <w:r w:rsidRPr="00ED1A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E61F" w14:textId="4553EB97" w:rsidR="00112D62" w:rsidRPr="00ED1A94" w:rsidRDefault="00334EC5" w:rsidP="003312A3">
    <w:pPr>
      <w:pStyle w:val="JuHeader"/>
    </w:pPr>
    <w:r w:rsidRPr="00ED1A94">
      <w:t xml:space="preserve">DÉCISION </w:t>
    </w:r>
    <w:r w:rsidR="00ED1A94">
      <w:t>MODANESE c. ITALIE</w:t>
    </w:r>
    <w:r w:rsidR="00ED1A94" w:rsidRPr="00ED1A94">
      <w:rPr>
        <w:noProof/>
      </w:rPr>
      <w:t xml:space="preserve"> ET AUTRES REQUÊTES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269B" w14:textId="07A62F34" w:rsidR="00112D62" w:rsidRPr="00ED1A94" w:rsidRDefault="00334EC5" w:rsidP="006544C4">
    <w:pPr>
      <w:pStyle w:val="JuHeader"/>
    </w:pPr>
    <w:r w:rsidRPr="00ED1A94">
      <w:t xml:space="preserve">DÉCISION </w:t>
    </w:r>
    <w:r w:rsidR="00ED1A94">
      <w:t>MODANESE c. ITALIE</w:t>
    </w:r>
    <w:r w:rsidR="00ED1A94" w:rsidRPr="00ED1A94">
      <w:rPr>
        <w:noProof/>
      </w:rPr>
      <w:t xml:space="preserve"> ET AUTRES REQUÊTES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9DA7" w14:textId="3070E101" w:rsidR="004716CB" w:rsidRDefault="00950A4A" w:rsidP="00950A4A">
    <w:pPr>
      <w:pStyle w:val="Intestazione"/>
      <w:jc w:val="center"/>
    </w:pPr>
    <w:r>
      <w:rPr>
        <w:noProof/>
        <w:lang w:val="en-US" w:eastAsia="ja-JP"/>
      </w:rPr>
      <w:drawing>
        <wp:inline distT="0" distB="0" distL="0" distR="0" wp14:anchorId="7574A406" wp14:editId="16C57105">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A807" w14:textId="77777777" w:rsidR="00950A4A" w:rsidRPr="00ED1A94" w:rsidRDefault="00950A4A" w:rsidP="00950A4A">
    <w:pPr>
      <w:pStyle w:val="JuHeader"/>
    </w:pPr>
    <w:r w:rsidRPr="00ED1A94">
      <w:t xml:space="preserve">DÉCISION </w:t>
    </w:r>
    <w:r>
      <w:t>MODANESE c. ITALIE</w:t>
    </w:r>
    <w:r w:rsidRPr="00ED1A94">
      <w:rPr>
        <w:noProof/>
      </w:rPr>
      <w:t xml:space="preserve"> ET AUTRES REQUÊTES</w:t>
    </w:r>
  </w:p>
  <w:p w14:paraId="28F6BB70" w14:textId="62092CF8" w:rsidR="00950A4A" w:rsidRDefault="00950A4A" w:rsidP="00950A4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AppNatAutre" w:val="0"/>
    <w:docVar w:name="DocVarPREMATURE" w:val="0"/>
    <w:docVar w:name="EMM" w:val="0"/>
    <w:docVar w:name="ETRANSMISSION" w:val="PAR VOIE ÈLECTRONIQUE UNIQUEMENT"/>
    <w:docVar w:name="L4_1Annex" w:val="0"/>
    <w:docVar w:name="L4_1Anonymity" w:val="0"/>
    <w:docVar w:name="NBEMMDOC" w:val="0"/>
    <w:docVar w:name="P3" w:val="P3"/>
    <w:docVar w:name="Plural" w:val="3"/>
    <w:docVar w:name="SignForeName" w:val="0"/>
    <w:docVar w:name="SndCaseNumber" w:val="Error!Nodocumentvariablesupplied."/>
  </w:docVars>
  <w:rsids>
    <w:rsidRoot w:val="00ED1A94"/>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526"/>
    <w:rsid w:val="00111B0C"/>
    <w:rsid w:val="00120D6C"/>
    <w:rsid w:val="001257EC"/>
    <w:rsid w:val="00133D33"/>
    <w:rsid w:val="00134D64"/>
    <w:rsid w:val="00135A30"/>
    <w:rsid w:val="0013612C"/>
    <w:rsid w:val="001376DE"/>
    <w:rsid w:val="00137FF6"/>
    <w:rsid w:val="00141650"/>
    <w:rsid w:val="0015152D"/>
    <w:rsid w:val="00162A12"/>
    <w:rsid w:val="001641A2"/>
    <w:rsid w:val="00166234"/>
    <w:rsid w:val="00166530"/>
    <w:rsid w:val="0016678F"/>
    <w:rsid w:val="001832BD"/>
    <w:rsid w:val="001943B5"/>
    <w:rsid w:val="00195134"/>
    <w:rsid w:val="0019525C"/>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1F71"/>
    <w:rsid w:val="00205F9F"/>
    <w:rsid w:val="00210338"/>
    <w:rsid w:val="002115FC"/>
    <w:rsid w:val="0021423C"/>
    <w:rsid w:val="00214794"/>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1869"/>
    <w:rsid w:val="002B444B"/>
    <w:rsid w:val="002B5887"/>
    <w:rsid w:val="002C0E27"/>
    <w:rsid w:val="002C3040"/>
    <w:rsid w:val="002D022D"/>
    <w:rsid w:val="002D24BB"/>
    <w:rsid w:val="002D609F"/>
    <w:rsid w:val="002E5500"/>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C1A"/>
    <w:rsid w:val="00427E7A"/>
    <w:rsid w:val="00436C49"/>
    <w:rsid w:val="00445366"/>
    <w:rsid w:val="00447F5B"/>
    <w:rsid w:val="00455E51"/>
    <w:rsid w:val="00461DB0"/>
    <w:rsid w:val="00463926"/>
    <w:rsid w:val="00464C9A"/>
    <w:rsid w:val="004716CB"/>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1C24"/>
    <w:rsid w:val="00522F44"/>
    <w:rsid w:val="00525208"/>
    <w:rsid w:val="005257A5"/>
    <w:rsid w:val="005264C0"/>
    <w:rsid w:val="00526A8A"/>
    <w:rsid w:val="00531DF2"/>
    <w:rsid w:val="005442EE"/>
    <w:rsid w:val="00547353"/>
    <w:rsid w:val="005474E7"/>
    <w:rsid w:val="005512A3"/>
    <w:rsid w:val="005578CE"/>
    <w:rsid w:val="00560C6F"/>
    <w:rsid w:val="00562781"/>
    <w:rsid w:val="00564159"/>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65A93"/>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4D68"/>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0A4A"/>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005B3"/>
    <w:rsid w:val="00A1102F"/>
    <w:rsid w:val="00A1726E"/>
    <w:rsid w:val="00A204CF"/>
    <w:rsid w:val="00A23D49"/>
    <w:rsid w:val="00A27004"/>
    <w:rsid w:val="00A30C29"/>
    <w:rsid w:val="00A34DD6"/>
    <w:rsid w:val="00A36819"/>
    <w:rsid w:val="00A36989"/>
    <w:rsid w:val="00A43628"/>
    <w:rsid w:val="00A54192"/>
    <w:rsid w:val="00A55CE9"/>
    <w:rsid w:val="00A6035E"/>
    <w:rsid w:val="00A6144C"/>
    <w:rsid w:val="00A61EAA"/>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30B1"/>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C1F1D"/>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1A94"/>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8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04D68"/>
    <w:rPr>
      <w:sz w:val="24"/>
      <w:szCs w:val="24"/>
      <w:lang w:val="fr-FR"/>
    </w:rPr>
  </w:style>
  <w:style w:type="paragraph" w:styleId="Titolo1">
    <w:name w:val="heading 1"/>
    <w:basedOn w:val="Normale"/>
    <w:next w:val="Normale"/>
    <w:link w:val="Titolo1Carattere"/>
    <w:uiPriority w:val="98"/>
    <w:semiHidden/>
    <w:rsid w:val="00804D6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04D6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04D6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04D6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04D6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04D6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04D6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04D6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04D6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04D6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04D68"/>
    <w:rPr>
      <w:rFonts w:ascii="Tahoma" w:hAnsi="Tahoma" w:cs="Tahoma"/>
      <w:sz w:val="16"/>
      <w:szCs w:val="16"/>
      <w:lang w:val="fr-FR"/>
    </w:rPr>
  </w:style>
  <w:style w:type="character" w:styleId="Titolodellibro">
    <w:name w:val="Book Title"/>
    <w:uiPriority w:val="98"/>
    <w:semiHidden/>
    <w:qFormat/>
    <w:rsid w:val="00804D68"/>
    <w:rPr>
      <w:i/>
      <w:iCs/>
      <w:smallCaps/>
      <w:spacing w:val="5"/>
    </w:rPr>
  </w:style>
  <w:style w:type="paragraph" w:customStyle="1" w:styleId="JuHeader">
    <w:name w:val="Ju_Header"/>
    <w:aliases w:val="_Header"/>
    <w:basedOn w:val="Intestazione"/>
    <w:uiPriority w:val="29"/>
    <w:qFormat/>
    <w:rsid w:val="00804D68"/>
    <w:pPr>
      <w:tabs>
        <w:tab w:val="clear" w:pos="4536"/>
        <w:tab w:val="clear" w:pos="9072"/>
      </w:tabs>
      <w:jc w:val="center"/>
    </w:pPr>
    <w:rPr>
      <w:sz w:val="18"/>
    </w:rPr>
  </w:style>
  <w:style w:type="paragraph" w:customStyle="1" w:styleId="NormalJustified">
    <w:name w:val="Normal_Justified"/>
    <w:basedOn w:val="Normale"/>
    <w:semiHidden/>
    <w:rsid w:val="00804D68"/>
    <w:pPr>
      <w:jc w:val="both"/>
    </w:pPr>
  </w:style>
  <w:style w:type="character" w:styleId="Enfasigrassetto">
    <w:name w:val="Strong"/>
    <w:uiPriority w:val="98"/>
    <w:semiHidden/>
    <w:qFormat/>
    <w:rsid w:val="00804D68"/>
    <w:rPr>
      <w:b/>
      <w:bCs/>
    </w:rPr>
  </w:style>
  <w:style w:type="paragraph" w:styleId="Nessunaspaziatura">
    <w:name w:val="No Spacing"/>
    <w:basedOn w:val="Normale"/>
    <w:link w:val="NessunaspaziaturaCarattere"/>
    <w:uiPriority w:val="98"/>
    <w:semiHidden/>
    <w:qFormat/>
    <w:rsid w:val="00804D68"/>
  </w:style>
  <w:style w:type="character" w:customStyle="1" w:styleId="NessunaspaziaturaCarattere">
    <w:name w:val="Nessuna spaziatura Carattere"/>
    <w:basedOn w:val="Carpredefinitoparagrafo"/>
    <w:link w:val="Nessunaspaziatura"/>
    <w:uiPriority w:val="98"/>
    <w:semiHidden/>
    <w:rsid w:val="00804D68"/>
    <w:rPr>
      <w:sz w:val="24"/>
      <w:szCs w:val="24"/>
      <w:lang w:val="fr-FR"/>
    </w:rPr>
  </w:style>
  <w:style w:type="paragraph" w:customStyle="1" w:styleId="ECHRBullet1">
    <w:name w:val="ECHR_Bullet_1"/>
    <w:aliases w:val="_Bul_1"/>
    <w:basedOn w:val="NormalJustified"/>
    <w:uiPriority w:val="23"/>
    <w:semiHidden/>
    <w:qFormat/>
    <w:rsid w:val="00804D68"/>
    <w:pPr>
      <w:numPr>
        <w:numId w:val="15"/>
      </w:numPr>
      <w:spacing w:before="60" w:after="60"/>
    </w:pPr>
  </w:style>
  <w:style w:type="paragraph" w:customStyle="1" w:styleId="JuQuot">
    <w:name w:val="Ju_Quot"/>
    <w:aliases w:val="_Quote"/>
    <w:basedOn w:val="NormalJustified"/>
    <w:uiPriority w:val="20"/>
    <w:qFormat/>
    <w:rsid w:val="00804D68"/>
    <w:pPr>
      <w:spacing w:before="120" w:after="120"/>
      <w:ind w:left="425" w:firstLine="142"/>
    </w:pPr>
    <w:rPr>
      <w:sz w:val="20"/>
    </w:rPr>
  </w:style>
  <w:style w:type="paragraph" w:customStyle="1" w:styleId="JuList">
    <w:name w:val="Ju_List"/>
    <w:aliases w:val="_List_1"/>
    <w:basedOn w:val="NormalJustified"/>
    <w:uiPriority w:val="23"/>
    <w:qFormat/>
    <w:rsid w:val="00804D68"/>
    <w:pPr>
      <w:numPr>
        <w:numId w:val="16"/>
      </w:numPr>
      <w:spacing w:before="280" w:after="60"/>
    </w:pPr>
  </w:style>
  <w:style w:type="paragraph" w:customStyle="1" w:styleId="JuLista">
    <w:name w:val="Ju_List_a"/>
    <w:aliases w:val="_List_2"/>
    <w:basedOn w:val="NormalJustified"/>
    <w:uiPriority w:val="23"/>
    <w:rsid w:val="00804D68"/>
    <w:pPr>
      <w:numPr>
        <w:ilvl w:val="1"/>
        <w:numId w:val="16"/>
      </w:numPr>
    </w:pPr>
  </w:style>
  <w:style w:type="paragraph" w:customStyle="1" w:styleId="JuListi">
    <w:name w:val="Ju_List_i"/>
    <w:aliases w:val="_List_3"/>
    <w:basedOn w:val="NormalJustified"/>
    <w:uiPriority w:val="23"/>
    <w:rsid w:val="00804D68"/>
    <w:pPr>
      <w:numPr>
        <w:ilvl w:val="2"/>
        <w:numId w:val="16"/>
      </w:numPr>
    </w:pPr>
  </w:style>
  <w:style w:type="paragraph" w:customStyle="1" w:styleId="ECHRCoverTitle4">
    <w:name w:val="ECHR_Cover_Title_4"/>
    <w:aliases w:val="_Title_4"/>
    <w:basedOn w:val="JuPara"/>
    <w:next w:val="JuPara"/>
    <w:uiPriority w:val="38"/>
    <w:qFormat/>
    <w:rsid w:val="00804D68"/>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804D68"/>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804D68"/>
    <w:pPr>
      <w:numPr>
        <w:numId w:val="15"/>
      </w:numPr>
    </w:pPr>
  </w:style>
  <w:style w:type="numbering" w:customStyle="1" w:styleId="ECHRA1StyleList">
    <w:name w:val="ECHR_A1_Style_List"/>
    <w:basedOn w:val="Nessunelenco"/>
    <w:uiPriority w:val="99"/>
    <w:rsid w:val="00804D68"/>
    <w:pPr>
      <w:numPr>
        <w:numId w:val="16"/>
      </w:numPr>
    </w:pPr>
  </w:style>
  <w:style w:type="paragraph" w:customStyle="1" w:styleId="JuHHead">
    <w:name w:val="Ju_H_Head"/>
    <w:aliases w:val="_Head_1"/>
    <w:basedOn w:val="Titolo1"/>
    <w:next w:val="JuPara"/>
    <w:uiPriority w:val="17"/>
    <w:qFormat/>
    <w:rsid w:val="00804D68"/>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804D68"/>
    <w:pPr>
      <w:numPr>
        <w:numId w:val="17"/>
      </w:numPr>
    </w:pPr>
  </w:style>
  <w:style w:type="paragraph" w:styleId="Titolo">
    <w:name w:val="Title"/>
    <w:basedOn w:val="Normale"/>
    <w:next w:val="Normale"/>
    <w:link w:val="TitoloCarattere"/>
    <w:uiPriority w:val="98"/>
    <w:semiHidden/>
    <w:qFormat/>
    <w:rsid w:val="00804D6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04D68"/>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804D6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804D68"/>
    <w:pPr>
      <w:ind w:firstLine="284"/>
    </w:pPr>
    <w:rPr>
      <w:b/>
    </w:rPr>
  </w:style>
  <w:style w:type="paragraph" w:customStyle="1" w:styleId="JuCourt">
    <w:name w:val="Ju_Court"/>
    <w:aliases w:val="_Court_Names"/>
    <w:basedOn w:val="Normale"/>
    <w:next w:val="Normale"/>
    <w:uiPriority w:val="32"/>
    <w:qFormat/>
    <w:rsid w:val="00804D68"/>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804D68"/>
    <w:pPr>
      <w:tabs>
        <w:tab w:val="center" w:pos="6407"/>
      </w:tabs>
      <w:spacing w:before="720"/>
      <w:jc w:val="right"/>
    </w:pPr>
  </w:style>
  <w:style w:type="paragraph" w:customStyle="1" w:styleId="JuHIRoman">
    <w:name w:val="Ju_H_I_Roman"/>
    <w:aliases w:val="_Head_2"/>
    <w:basedOn w:val="Titolo2"/>
    <w:next w:val="JuPara"/>
    <w:uiPriority w:val="17"/>
    <w:qFormat/>
    <w:rsid w:val="00804D68"/>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804D68"/>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804D68"/>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804D6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04D68"/>
    <w:rPr>
      <w:sz w:val="24"/>
      <w:szCs w:val="24"/>
      <w:lang w:val="fr-FR"/>
    </w:rPr>
  </w:style>
  <w:style w:type="character" w:customStyle="1" w:styleId="Titolo1Carattere">
    <w:name w:val="Titolo 1 Carattere"/>
    <w:basedOn w:val="Carpredefinitoparagrafo"/>
    <w:link w:val="Titolo1"/>
    <w:uiPriority w:val="98"/>
    <w:semiHidden/>
    <w:rsid w:val="00804D68"/>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804D68"/>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804D68"/>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804D68"/>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804D68"/>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804D68"/>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804D68"/>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804D68"/>
    <w:pPr>
      <w:keepNext/>
      <w:keepLines/>
      <w:spacing w:before="240" w:after="240"/>
      <w:ind w:firstLine="284"/>
    </w:pPr>
  </w:style>
  <w:style w:type="character" w:customStyle="1" w:styleId="JuITMark">
    <w:name w:val="Ju_ITMark"/>
    <w:aliases w:val="_ITMark"/>
    <w:basedOn w:val="Carpredefinitoparagrafo"/>
    <w:uiPriority w:val="54"/>
    <w:qFormat/>
    <w:rsid w:val="00804D68"/>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804D68"/>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804D68"/>
    <w:pPr>
      <w:tabs>
        <w:tab w:val="left" w:pos="567"/>
        <w:tab w:val="left" w:pos="1134"/>
      </w:tabs>
    </w:pPr>
  </w:style>
  <w:style w:type="character" w:customStyle="1" w:styleId="Titolo5Carattere">
    <w:name w:val="Titolo 5 Carattere"/>
    <w:basedOn w:val="Carpredefinitoparagrafo"/>
    <w:link w:val="Titolo5"/>
    <w:uiPriority w:val="98"/>
    <w:semiHidden/>
    <w:rsid w:val="00804D68"/>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804D68"/>
    <w:rPr>
      <w:caps w:val="0"/>
      <w:smallCaps/>
    </w:rPr>
  </w:style>
  <w:style w:type="character" w:styleId="Enfasidelicata">
    <w:name w:val="Subtle Emphasis"/>
    <w:uiPriority w:val="98"/>
    <w:semiHidden/>
    <w:qFormat/>
    <w:rsid w:val="00804D68"/>
    <w:rPr>
      <w:i/>
      <w:iCs/>
    </w:rPr>
  </w:style>
  <w:style w:type="table" w:customStyle="1" w:styleId="ECHRTable">
    <w:name w:val="ECHR_Table"/>
    <w:basedOn w:val="Tabellanormale"/>
    <w:rsid w:val="00804D6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04D6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804D68"/>
    <w:pPr>
      <w:keepNext/>
      <w:keepLines/>
      <w:spacing w:after="280"/>
      <w:ind w:firstLine="0"/>
      <w:jc w:val="center"/>
    </w:pPr>
    <w:rPr>
      <w:rFonts w:asciiTheme="majorHAnsi" w:hAnsiTheme="majorHAnsi"/>
    </w:rPr>
  </w:style>
  <w:style w:type="character" w:styleId="Enfasicorsivo">
    <w:name w:val="Emphasis"/>
    <w:uiPriority w:val="98"/>
    <w:semiHidden/>
    <w:qFormat/>
    <w:rsid w:val="00804D68"/>
    <w:rPr>
      <w:b/>
      <w:bCs/>
      <w:i/>
      <w:iCs/>
      <w:spacing w:val="10"/>
      <w:bdr w:val="none" w:sz="0" w:space="0" w:color="auto"/>
      <w:shd w:val="clear" w:color="auto" w:fill="auto"/>
    </w:rPr>
  </w:style>
  <w:style w:type="paragraph" w:styleId="Pidipagina">
    <w:name w:val="footer"/>
    <w:basedOn w:val="Normale"/>
    <w:link w:val="PidipaginaCarattere"/>
    <w:uiPriority w:val="98"/>
    <w:semiHidden/>
    <w:rsid w:val="00804D68"/>
    <w:pPr>
      <w:tabs>
        <w:tab w:val="center" w:pos="3686"/>
        <w:tab w:val="right" w:pos="7371"/>
      </w:tabs>
    </w:pPr>
  </w:style>
  <w:style w:type="character" w:customStyle="1" w:styleId="PidipaginaCarattere">
    <w:name w:val="Piè di pagina Carattere"/>
    <w:basedOn w:val="Carpredefinitoparagrafo"/>
    <w:link w:val="Pidipagina"/>
    <w:uiPriority w:val="98"/>
    <w:rsid w:val="00804D68"/>
    <w:rPr>
      <w:sz w:val="24"/>
      <w:szCs w:val="24"/>
      <w:lang w:val="fr-FR"/>
    </w:rPr>
  </w:style>
  <w:style w:type="character" w:styleId="Rimandonotaapidipagina">
    <w:name w:val="footnote reference"/>
    <w:basedOn w:val="Carpredefinitoparagrafo"/>
    <w:uiPriority w:val="98"/>
    <w:semiHidden/>
    <w:rsid w:val="00804D68"/>
    <w:rPr>
      <w:vertAlign w:val="superscript"/>
    </w:rPr>
  </w:style>
  <w:style w:type="paragraph" w:styleId="Testonotaapidipagina">
    <w:name w:val="footnote text"/>
    <w:basedOn w:val="NormalJustified"/>
    <w:link w:val="TestonotaapidipaginaCarattere"/>
    <w:uiPriority w:val="98"/>
    <w:semiHidden/>
    <w:rsid w:val="00804D68"/>
    <w:rPr>
      <w:sz w:val="20"/>
      <w:szCs w:val="20"/>
    </w:rPr>
  </w:style>
  <w:style w:type="character" w:customStyle="1" w:styleId="TestonotaapidipaginaCarattere">
    <w:name w:val="Testo nota a piè di pagina Carattere"/>
    <w:basedOn w:val="Carpredefinitoparagrafo"/>
    <w:link w:val="Testonotaapidipagina"/>
    <w:uiPriority w:val="98"/>
    <w:semiHidden/>
    <w:rsid w:val="00804D68"/>
    <w:rPr>
      <w:sz w:val="20"/>
      <w:szCs w:val="20"/>
      <w:lang w:val="fr-FR"/>
    </w:rPr>
  </w:style>
  <w:style w:type="character" w:customStyle="1" w:styleId="Titolo6Carattere">
    <w:name w:val="Titolo 6 Carattere"/>
    <w:basedOn w:val="Carpredefinitoparagrafo"/>
    <w:link w:val="Titolo6"/>
    <w:uiPriority w:val="98"/>
    <w:semiHidden/>
    <w:rsid w:val="00804D68"/>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804D68"/>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804D68"/>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804D68"/>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804D68"/>
    <w:rPr>
      <w:color w:val="0072BC" w:themeColor="hyperlink"/>
      <w:u w:val="single"/>
    </w:rPr>
  </w:style>
  <w:style w:type="character" w:styleId="Enfasiintensa">
    <w:name w:val="Intense Emphasis"/>
    <w:uiPriority w:val="98"/>
    <w:semiHidden/>
    <w:qFormat/>
    <w:rsid w:val="00804D68"/>
    <w:rPr>
      <w:b/>
      <w:bCs/>
    </w:rPr>
  </w:style>
  <w:style w:type="paragraph" w:styleId="Citazioneintensa">
    <w:name w:val="Intense Quote"/>
    <w:basedOn w:val="Normale"/>
    <w:next w:val="Normale"/>
    <w:link w:val="CitazioneintensaCarattere"/>
    <w:uiPriority w:val="98"/>
    <w:semiHidden/>
    <w:qFormat/>
    <w:rsid w:val="00804D6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04D68"/>
    <w:rPr>
      <w:b/>
      <w:bCs/>
      <w:i/>
      <w:iCs/>
      <w:sz w:val="24"/>
      <w:szCs w:val="24"/>
      <w:lang w:val="fr-FR" w:bidi="en-US"/>
    </w:rPr>
  </w:style>
  <w:style w:type="character" w:styleId="Riferimentointenso">
    <w:name w:val="Intense Reference"/>
    <w:uiPriority w:val="98"/>
    <w:semiHidden/>
    <w:qFormat/>
    <w:rsid w:val="00804D68"/>
    <w:rPr>
      <w:smallCaps/>
      <w:spacing w:val="5"/>
      <w:u w:val="single"/>
    </w:rPr>
  </w:style>
  <w:style w:type="paragraph" w:styleId="Paragrafoelenco">
    <w:name w:val="List Paragraph"/>
    <w:basedOn w:val="Normale"/>
    <w:uiPriority w:val="98"/>
    <w:semiHidden/>
    <w:qFormat/>
    <w:rsid w:val="00804D68"/>
    <w:pPr>
      <w:ind w:left="720"/>
      <w:contextualSpacing/>
    </w:pPr>
  </w:style>
  <w:style w:type="table" w:customStyle="1" w:styleId="LtrTableAddress">
    <w:name w:val="Ltr_Table_Address"/>
    <w:aliases w:val="ECHR_Ltr_Table_Address"/>
    <w:basedOn w:val="Tabellanormale"/>
    <w:uiPriority w:val="99"/>
    <w:rsid w:val="00804D68"/>
    <w:rPr>
      <w:sz w:val="24"/>
      <w:szCs w:val="24"/>
    </w:rPr>
    <w:tblPr>
      <w:tblInd w:w="5103" w:type="dxa"/>
    </w:tblPr>
  </w:style>
  <w:style w:type="paragraph" w:styleId="Citazione">
    <w:name w:val="Quote"/>
    <w:basedOn w:val="Normale"/>
    <w:next w:val="Normale"/>
    <w:link w:val="CitazioneCarattere"/>
    <w:uiPriority w:val="98"/>
    <w:semiHidden/>
    <w:qFormat/>
    <w:rsid w:val="00804D6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04D68"/>
    <w:rPr>
      <w:i/>
      <w:iCs/>
      <w:sz w:val="24"/>
      <w:szCs w:val="24"/>
      <w:lang w:val="fr-FR" w:bidi="en-US"/>
    </w:rPr>
  </w:style>
  <w:style w:type="character" w:styleId="Riferimentodelicato">
    <w:name w:val="Subtle Reference"/>
    <w:uiPriority w:val="98"/>
    <w:semiHidden/>
    <w:qFormat/>
    <w:rsid w:val="00804D68"/>
    <w:rPr>
      <w:smallCaps/>
    </w:rPr>
  </w:style>
  <w:style w:type="table" w:styleId="Grigliatabella">
    <w:name w:val="Table Grid"/>
    <w:basedOn w:val="Tabellanormale"/>
    <w:uiPriority w:val="59"/>
    <w:semiHidden/>
    <w:rsid w:val="00804D6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04D6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04D6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04D6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04D6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04D6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04D6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04D6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04D6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04D6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04D6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04D6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04D6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04D6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804D68"/>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804D68"/>
    <w:pPr>
      <w:ind w:firstLine="284"/>
    </w:pPr>
  </w:style>
  <w:style w:type="character" w:customStyle="1" w:styleId="SottotitoloCarattere">
    <w:name w:val="Sottotitolo Carattere"/>
    <w:basedOn w:val="Carpredefinitoparagrafo"/>
    <w:link w:val="Sottotitolo"/>
    <w:uiPriority w:val="98"/>
    <w:semiHidden/>
    <w:rsid w:val="00804D68"/>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804D6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04D6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804D68"/>
    <w:pPr>
      <w:numPr>
        <w:numId w:val="1"/>
      </w:numPr>
    </w:pPr>
  </w:style>
  <w:style w:type="table" w:customStyle="1" w:styleId="ECHRTableForInternalUse">
    <w:name w:val="ECHR_Table_For_Internal_Use"/>
    <w:basedOn w:val="Tabellanormale"/>
    <w:uiPriority w:val="99"/>
    <w:rsid w:val="00804D6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04D6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804D68"/>
    <w:pPr>
      <w:numPr>
        <w:numId w:val="2"/>
      </w:numPr>
    </w:pPr>
  </w:style>
  <w:style w:type="numbering" w:styleId="ArticoloSezione">
    <w:name w:val="Outline List 3"/>
    <w:basedOn w:val="Nessunelenco"/>
    <w:uiPriority w:val="99"/>
    <w:semiHidden/>
    <w:unhideWhenUsed/>
    <w:rsid w:val="00804D68"/>
    <w:pPr>
      <w:numPr>
        <w:numId w:val="3"/>
      </w:numPr>
    </w:pPr>
  </w:style>
  <w:style w:type="table" w:customStyle="1" w:styleId="ECHRHeaderTable">
    <w:name w:val="ECHR_Header_Table"/>
    <w:basedOn w:val="Tabellanormale"/>
    <w:uiPriority w:val="99"/>
    <w:rsid w:val="00804D6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804D68"/>
  </w:style>
  <w:style w:type="paragraph" w:styleId="Testodelblocco">
    <w:name w:val="Block Text"/>
    <w:basedOn w:val="Normale"/>
    <w:uiPriority w:val="98"/>
    <w:semiHidden/>
    <w:rsid w:val="00804D6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04D6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804D68"/>
    <w:pPr>
      <w:spacing w:after="120"/>
    </w:pPr>
  </w:style>
  <w:style w:type="table" w:customStyle="1" w:styleId="ECHRHeaderTableReduced">
    <w:name w:val="ECHR_Header_Table_Reduced"/>
    <w:basedOn w:val="Tabellanormale"/>
    <w:uiPriority w:val="99"/>
    <w:rsid w:val="00804D6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804D68"/>
    <w:rPr>
      <w:sz w:val="18"/>
    </w:rPr>
  </w:style>
  <w:style w:type="character" w:styleId="Rimandocommento">
    <w:name w:val="annotation reference"/>
    <w:basedOn w:val="Carpredefinitoparagrafo"/>
    <w:uiPriority w:val="98"/>
    <w:semiHidden/>
    <w:rsid w:val="00804D68"/>
    <w:rPr>
      <w:sz w:val="16"/>
      <w:szCs w:val="16"/>
    </w:rPr>
  </w:style>
  <w:style w:type="paragraph" w:styleId="Testocommento">
    <w:name w:val="annotation text"/>
    <w:basedOn w:val="Normale"/>
    <w:link w:val="TestocommentoCarattere"/>
    <w:uiPriority w:val="98"/>
    <w:semiHidden/>
    <w:rsid w:val="00804D68"/>
    <w:rPr>
      <w:sz w:val="20"/>
      <w:szCs w:val="20"/>
    </w:rPr>
  </w:style>
  <w:style w:type="character" w:customStyle="1" w:styleId="TestocommentoCarattere">
    <w:name w:val="Testo commento Carattere"/>
    <w:basedOn w:val="Carpredefinitoparagrafo"/>
    <w:link w:val="Testocommento"/>
    <w:uiPriority w:val="98"/>
    <w:semiHidden/>
    <w:rsid w:val="00804D68"/>
    <w:rPr>
      <w:sz w:val="20"/>
      <w:szCs w:val="20"/>
      <w:lang w:val="fr-FR"/>
    </w:rPr>
  </w:style>
  <w:style w:type="paragraph" w:customStyle="1" w:styleId="JuSigned">
    <w:name w:val="Ju_Signed"/>
    <w:aliases w:val="_Signature"/>
    <w:basedOn w:val="Normale"/>
    <w:next w:val="JuPara"/>
    <w:uiPriority w:val="31"/>
    <w:qFormat/>
    <w:rsid w:val="00804D68"/>
    <w:pPr>
      <w:tabs>
        <w:tab w:val="center" w:pos="1418"/>
        <w:tab w:val="center" w:pos="5954"/>
      </w:tabs>
      <w:spacing w:before="720"/>
    </w:pPr>
  </w:style>
  <w:style w:type="paragraph" w:customStyle="1" w:styleId="JuTitle">
    <w:name w:val="Ju_Title"/>
    <w:aliases w:val="_Title_2"/>
    <w:basedOn w:val="Normale"/>
    <w:next w:val="JuPara"/>
    <w:uiPriority w:val="38"/>
    <w:qFormat/>
    <w:rsid w:val="00804D68"/>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804D68"/>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804D68"/>
    <w:pPr>
      <w:numPr>
        <w:numId w:val="5"/>
      </w:numPr>
      <w:contextualSpacing/>
    </w:pPr>
  </w:style>
  <w:style w:type="paragraph" w:styleId="Puntoelenco3">
    <w:name w:val="List Bullet 3"/>
    <w:basedOn w:val="Normale"/>
    <w:uiPriority w:val="98"/>
    <w:semiHidden/>
    <w:rsid w:val="00804D68"/>
    <w:pPr>
      <w:numPr>
        <w:numId w:val="6"/>
      </w:numPr>
      <w:contextualSpacing/>
    </w:pPr>
  </w:style>
  <w:style w:type="character" w:customStyle="1" w:styleId="CorpotestoCarattere">
    <w:name w:val="Corpo testo Carattere"/>
    <w:basedOn w:val="Carpredefinitoparagrafo"/>
    <w:link w:val="Corpotesto"/>
    <w:uiPriority w:val="98"/>
    <w:semiHidden/>
    <w:rsid w:val="00804D68"/>
    <w:rPr>
      <w:sz w:val="24"/>
      <w:szCs w:val="24"/>
      <w:lang w:val="fr-FR"/>
    </w:rPr>
  </w:style>
  <w:style w:type="paragraph" w:styleId="Corpodeltesto2">
    <w:name w:val="Body Text 2"/>
    <w:basedOn w:val="Normale"/>
    <w:link w:val="Corpodeltesto2Carattere"/>
    <w:uiPriority w:val="98"/>
    <w:semiHidden/>
    <w:rsid w:val="00804D68"/>
    <w:pPr>
      <w:spacing w:after="120" w:line="480" w:lineRule="auto"/>
    </w:pPr>
  </w:style>
  <w:style w:type="character" w:customStyle="1" w:styleId="Corpodeltesto2Carattere">
    <w:name w:val="Corpo del testo 2 Carattere"/>
    <w:basedOn w:val="Carpredefinitoparagrafo"/>
    <w:link w:val="Corpodeltesto2"/>
    <w:uiPriority w:val="98"/>
    <w:semiHidden/>
    <w:rsid w:val="00804D68"/>
    <w:rPr>
      <w:sz w:val="24"/>
      <w:szCs w:val="24"/>
      <w:lang w:val="fr-FR"/>
    </w:rPr>
  </w:style>
  <w:style w:type="paragraph" w:styleId="Corpodeltesto3">
    <w:name w:val="Body Text 3"/>
    <w:basedOn w:val="Normale"/>
    <w:link w:val="Corpodeltesto3Carattere"/>
    <w:uiPriority w:val="98"/>
    <w:semiHidden/>
    <w:rsid w:val="00804D6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04D68"/>
    <w:rPr>
      <w:sz w:val="16"/>
      <w:szCs w:val="16"/>
      <w:lang w:val="fr-FR"/>
    </w:rPr>
  </w:style>
  <w:style w:type="paragraph" w:styleId="Primorientrocorpodeltesto">
    <w:name w:val="Body Text First Indent"/>
    <w:basedOn w:val="Corpotesto"/>
    <w:link w:val="PrimorientrocorpodeltestoCarattere"/>
    <w:uiPriority w:val="98"/>
    <w:semiHidden/>
    <w:rsid w:val="00804D6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04D68"/>
    <w:rPr>
      <w:sz w:val="24"/>
      <w:szCs w:val="24"/>
      <w:lang w:val="fr-FR"/>
    </w:rPr>
  </w:style>
  <w:style w:type="paragraph" w:styleId="Rientrocorpodeltesto">
    <w:name w:val="Body Text Indent"/>
    <w:basedOn w:val="Normale"/>
    <w:link w:val="RientrocorpodeltestoCarattere"/>
    <w:uiPriority w:val="98"/>
    <w:semiHidden/>
    <w:rsid w:val="00804D6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04D68"/>
    <w:rPr>
      <w:sz w:val="24"/>
      <w:szCs w:val="24"/>
      <w:lang w:val="fr-FR"/>
    </w:rPr>
  </w:style>
  <w:style w:type="paragraph" w:styleId="Primorientrocorpodeltesto2">
    <w:name w:val="Body Text First Indent 2"/>
    <w:basedOn w:val="Rientrocorpodeltesto"/>
    <w:link w:val="Primorientrocorpodeltesto2Carattere"/>
    <w:uiPriority w:val="98"/>
    <w:semiHidden/>
    <w:rsid w:val="00804D6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04D68"/>
    <w:rPr>
      <w:sz w:val="24"/>
      <w:szCs w:val="24"/>
      <w:lang w:val="fr-FR"/>
    </w:rPr>
  </w:style>
  <w:style w:type="paragraph" w:styleId="Rientrocorpodeltesto2">
    <w:name w:val="Body Text Indent 2"/>
    <w:basedOn w:val="Normale"/>
    <w:link w:val="Rientrocorpodeltesto2Carattere"/>
    <w:uiPriority w:val="98"/>
    <w:semiHidden/>
    <w:rsid w:val="00804D6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04D68"/>
    <w:rPr>
      <w:sz w:val="24"/>
      <w:szCs w:val="24"/>
      <w:lang w:val="fr-FR"/>
    </w:rPr>
  </w:style>
  <w:style w:type="paragraph" w:styleId="Rientrocorpodeltesto3">
    <w:name w:val="Body Text Indent 3"/>
    <w:basedOn w:val="Normale"/>
    <w:link w:val="Rientrocorpodeltesto3Carattere"/>
    <w:uiPriority w:val="98"/>
    <w:semiHidden/>
    <w:rsid w:val="00804D6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04D68"/>
    <w:rPr>
      <w:sz w:val="16"/>
      <w:szCs w:val="16"/>
      <w:lang w:val="fr-FR"/>
    </w:rPr>
  </w:style>
  <w:style w:type="paragraph" w:styleId="Didascalia">
    <w:name w:val="caption"/>
    <w:basedOn w:val="Normale"/>
    <w:next w:val="Normale"/>
    <w:uiPriority w:val="98"/>
    <w:semiHidden/>
    <w:qFormat/>
    <w:rsid w:val="00804D6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04D68"/>
    <w:pPr>
      <w:ind w:left="4252"/>
    </w:pPr>
  </w:style>
  <w:style w:type="character" w:customStyle="1" w:styleId="FormuladichiusuraCarattere">
    <w:name w:val="Formula di chiusura Carattere"/>
    <w:basedOn w:val="Carpredefinitoparagrafo"/>
    <w:link w:val="Formuladichiusura"/>
    <w:uiPriority w:val="98"/>
    <w:semiHidden/>
    <w:rsid w:val="00804D68"/>
    <w:rPr>
      <w:sz w:val="24"/>
      <w:szCs w:val="24"/>
      <w:lang w:val="fr-FR"/>
    </w:rPr>
  </w:style>
  <w:style w:type="table" w:styleId="Grigliaacolori">
    <w:name w:val="Colorful Grid"/>
    <w:basedOn w:val="Tabellanormale"/>
    <w:uiPriority w:val="73"/>
    <w:semiHidden/>
    <w:rsid w:val="00804D6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04D6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04D6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04D6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04D6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04D6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04D6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04D6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04D6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04D6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04D6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04D6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04D6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04D6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04D6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04D6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04D6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04D6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04D6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04D6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04D6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04D68"/>
    <w:rPr>
      <w:b/>
      <w:bCs/>
    </w:rPr>
  </w:style>
  <w:style w:type="character" w:customStyle="1" w:styleId="SoggettocommentoCarattere">
    <w:name w:val="Soggetto commento Carattere"/>
    <w:basedOn w:val="TestocommentoCarattere"/>
    <w:link w:val="Soggettocommento"/>
    <w:uiPriority w:val="98"/>
    <w:semiHidden/>
    <w:rsid w:val="00804D68"/>
    <w:rPr>
      <w:b/>
      <w:bCs/>
      <w:sz w:val="20"/>
      <w:szCs w:val="20"/>
      <w:lang w:val="fr-FR"/>
    </w:rPr>
  </w:style>
  <w:style w:type="table" w:styleId="Elencoscuro">
    <w:name w:val="Dark List"/>
    <w:basedOn w:val="Tabellanormale"/>
    <w:uiPriority w:val="70"/>
    <w:semiHidden/>
    <w:rsid w:val="00804D6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04D6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04D6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04D6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04D6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04D6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04D6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04D68"/>
  </w:style>
  <w:style w:type="character" w:customStyle="1" w:styleId="DataCarattere">
    <w:name w:val="Data Carattere"/>
    <w:basedOn w:val="Carpredefinitoparagrafo"/>
    <w:link w:val="Data"/>
    <w:uiPriority w:val="98"/>
    <w:semiHidden/>
    <w:rsid w:val="00804D68"/>
    <w:rPr>
      <w:sz w:val="24"/>
      <w:szCs w:val="24"/>
      <w:lang w:val="fr-FR"/>
    </w:rPr>
  </w:style>
  <w:style w:type="paragraph" w:styleId="Mappadocumento">
    <w:name w:val="Document Map"/>
    <w:basedOn w:val="Normale"/>
    <w:link w:val="MappadocumentoCarattere"/>
    <w:uiPriority w:val="98"/>
    <w:semiHidden/>
    <w:rsid w:val="00804D6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04D68"/>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04D68"/>
  </w:style>
  <w:style w:type="character" w:customStyle="1" w:styleId="FirmadipostaelettronicaCarattere">
    <w:name w:val="Firma di posta elettronica Carattere"/>
    <w:basedOn w:val="Carpredefinitoparagrafo"/>
    <w:link w:val="Firmadipostaelettronica"/>
    <w:uiPriority w:val="98"/>
    <w:semiHidden/>
    <w:rsid w:val="00804D68"/>
    <w:rPr>
      <w:sz w:val="24"/>
      <w:szCs w:val="24"/>
      <w:lang w:val="fr-FR"/>
    </w:rPr>
  </w:style>
  <w:style w:type="character" w:styleId="Rimandonotadichiusura">
    <w:name w:val="endnote reference"/>
    <w:basedOn w:val="Carpredefinitoparagrafo"/>
    <w:uiPriority w:val="98"/>
    <w:semiHidden/>
    <w:rsid w:val="00804D68"/>
    <w:rPr>
      <w:vertAlign w:val="superscript"/>
    </w:rPr>
  </w:style>
  <w:style w:type="paragraph" w:styleId="Testonotadichiusura">
    <w:name w:val="endnote text"/>
    <w:basedOn w:val="Normale"/>
    <w:link w:val="TestonotadichiusuraCarattere"/>
    <w:uiPriority w:val="98"/>
    <w:semiHidden/>
    <w:rsid w:val="00804D68"/>
    <w:rPr>
      <w:sz w:val="20"/>
      <w:szCs w:val="20"/>
    </w:rPr>
  </w:style>
  <w:style w:type="character" w:customStyle="1" w:styleId="TestonotadichiusuraCarattere">
    <w:name w:val="Testo nota di chiusura Carattere"/>
    <w:basedOn w:val="Carpredefinitoparagrafo"/>
    <w:link w:val="Testonotadichiusura"/>
    <w:uiPriority w:val="98"/>
    <w:semiHidden/>
    <w:rsid w:val="00804D68"/>
    <w:rPr>
      <w:sz w:val="20"/>
      <w:szCs w:val="20"/>
      <w:lang w:val="fr-FR"/>
    </w:rPr>
  </w:style>
  <w:style w:type="paragraph" w:styleId="Indirizzodestinatario">
    <w:name w:val="envelope address"/>
    <w:basedOn w:val="Normale"/>
    <w:uiPriority w:val="98"/>
    <w:semiHidden/>
    <w:rsid w:val="00804D6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04D6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04D68"/>
    <w:rPr>
      <w:color w:val="7030A0" w:themeColor="followedHyperlink"/>
      <w:u w:val="single"/>
    </w:rPr>
  </w:style>
  <w:style w:type="character" w:styleId="AcronimoHTML">
    <w:name w:val="HTML Acronym"/>
    <w:basedOn w:val="Carpredefinitoparagrafo"/>
    <w:uiPriority w:val="98"/>
    <w:semiHidden/>
    <w:rsid w:val="00804D68"/>
  </w:style>
  <w:style w:type="paragraph" w:styleId="IndirizzoHTML">
    <w:name w:val="HTML Address"/>
    <w:basedOn w:val="Normale"/>
    <w:link w:val="IndirizzoHTMLCarattere"/>
    <w:uiPriority w:val="98"/>
    <w:semiHidden/>
    <w:rsid w:val="00804D68"/>
    <w:rPr>
      <w:i/>
      <w:iCs/>
    </w:rPr>
  </w:style>
  <w:style w:type="character" w:customStyle="1" w:styleId="IndirizzoHTMLCarattere">
    <w:name w:val="Indirizzo HTML Carattere"/>
    <w:basedOn w:val="Carpredefinitoparagrafo"/>
    <w:link w:val="IndirizzoHTML"/>
    <w:uiPriority w:val="98"/>
    <w:semiHidden/>
    <w:rsid w:val="00804D68"/>
    <w:rPr>
      <w:i/>
      <w:iCs/>
      <w:sz w:val="24"/>
      <w:szCs w:val="24"/>
      <w:lang w:val="fr-FR"/>
    </w:rPr>
  </w:style>
  <w:style w:type="character" w:styleId="CitazioneHTML">
    <w:name w:val="HTML Cite"/>
    <w:basedOn w:val="Carpredefinitoparagrafo"/>
    <w:uiPriority w:val="98"/>
    <w:semiHidden/>
    <w:rsid w:val="00804D68"/>
    <w:rPr>
      <w:i/>
      <w:iCs/>
    </w:rPr>
  </w:style>
  <w:style w:type="character" w:styleId="CodiceHTML">
    <w:name w:val="HTML Code"/>
    <w:basedOn w:val="Carpredefinitoparagrafo"/>
    <w:uiPriority w:val="98"/>
    <w:semiHidden/>
    <w:rsid w:val="00804D68"/>
    <w:rPr>
      <w:rFonts w:ascii="Consolas" w:hAnsi="Consolas" w:cs="Consolas"/>
      <w:sz w:val="20"/>
      <w:szCs w:val="20"/>
    </w:rPr>
  </w:style>
  <w:style w:type="character" w:styleId="DefinizioneHTML">
    <w:name w:val="HTML Definition"/>
    <w:basedOn w:val="Carpredefinitoparagrafo"/>
    <w:uiPriority w:val="98"/>
    <w:semiHidden/>
    <w:rsid w:val="00804D68"/>
    <w:rPr>
      <w:i/>
      <w:iCs/>
    </w:rPr>
  </w:style>
  <w:style w:type="character" w:styleId="TastieraHTML">
    <w:name w:val="HTML Keyboard"/>
    <w:basedOn w:val="Carpredefinitoparagrafo"/>
    <w:uiPriority w:val="98"/>
    <w:semiHidden/>
    <w:rsid w:val="00804D68"/>
    <w:rPr>
      <w:rFonts w:ascii="Consolas" w:hAnsi="Consolas" w:cs="Consolas"/>
      <w:sz w:val="20"/>
      <w:szCs w:val="20"/>
    </w:rPr>
  </w:style>
  <w:style w:type="paragraph" w:styleId="PreformattatoHTML">
    <w:name w:val="HTML Preformatted"/>
    <w:basedOn w:val="Normale"/>
    <w:link w:val="PreformattatoHTMLCarattere"/>
    <w:uiPriority w:val="98"/>
    <w:semiHidden/>
    <w:rsid w:val="00804D6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04D68"/>
    <w:rPr>
      <w:rFonts w:ascii="Consolas" w:hAnsi="Consolas" w:cs="Consolas"/>
      <w:sz w:val="20"/>
      <w:szCs w:val="20"/>
      <w:lang w:val="fr-FR"/>
    </w:rPr>
  </w:style>
  <w:style w:type="character" w:styleId="EsempioHTML">
    <w:name w:val="HTML Sample"/>
    <w:basedOn w:val="Carpredefinitoparagrafo"/>
    <w:uiPriority w:val="98"/>
    <w:semiHidden/>
    <w:rsid w:val="00804D68"/>
    <w:rPr>
      <w:rFonts w:ascii="Consolas" w:hAnsi="Consolas" w:cs="Consolas"/>
      <w:sz w:val="24"/>
      <w:szCs w:val="24"/>
    </w:rPr>
  </w:style>
  <w:style w:type="character" w:styleId="MacchinadascrivereHTML">
    <w:name w:val="HTML Typewriter"/>
    <w:basedOn w:val="Carpredefinitoparagrafo"/>
    <w:uiPriority w:val="98"/>
    <w:semiHidden/>
    <w:rsid w:val="00804D68"/>
    <w:rPr>
      <w:rFonts w:ascii="Consolas" w:hAnsi="Consolas" w:cs="Consolas"/>
      <w:sz w:val="20"/>
      <w:szCs w:val="20"/>
    </w:rPr>
  </w:style>
  <w:style w:type="character" w:styleId="VariabileHTML">
    <w:name w:val="HTML Variable"/>
    <w:basedOn w:val="Carpredefinitoparagrafo"/>
    <w:uiPriority w:val="98"/>
    <w:semiHidden/>
    <w:rsid w:val="00804D68"/>
    <w:rPr>
      <w:i/>
      <w:iCs/>
    </w:rPr>
  </w:style>
  <w:style w:type="paragraph" w:styleId="Indice1">
    <w:name w:val="index 1"/>
    <w:basedOn w:val="Normale"/>
    <w:next w:val="Normale"/>
    <w:autoRedefine/>
    <w:uiPriority w:val="98"/>
    <w:semiHidden/>
    <w:rsid w:val="00804D68"/>
    <w:pPr>
      <w:ind w:left="240" w:hanging="240"/>
    </w:pPr>
  </w:style>
  <w:style w:type="paragraph" w:styleId="Indice2">
    <w:name w:val="index 2"/>
    <w:basedOn w:val="Normale"/>
    <w:next w:val="Normale"/>
    <w:autoRedefine/>
    <w:uiPriority w:val="98"/>
    <w:semiHidden/>
    <w:rsid w:val="00804D68"/>
    <w:pPr>
      <w:ind w:left="480" w:hanging="240"/>
    </w:pPr>
  </w:style>
  <w:style w:type="paragraph" w:styleId="Indice3">
    <w:name w:val="index 3"/>
    <w:basedOn w:val="Normale"/>
    <w:next w:val="Normale"/>
    <w:autoRedefine/>
    <w:uiPriority w:val="98"/>
    <w:semiHidden/>
    <w:rsid w:val="00804D68"/>
    <w:pPr>
      <w:ind w:left="720" w:hanging="240"/>
    </w:pPr>
  </w:style>
  <w:style w:type="paragraph" w:styleId="Indice4">
    <w:name w:val="index 4"/>
    <w:basedOn w:val="Normale"/>
    <w:next w:val="Normale"/>
    <w:autoRedefine/>
    <w:uiPriority w:val="98"/>
    <w:semiHidden/>
    <w:rsid w:val="00804D68"/>
    <w:pPr>
      <w:ind w:left="960" w:hanging="240"/>
    </w:pPr>
  </w:style>
  <w:style w:type="paragraph" w:styleId="Indice5">
    <w:name w:val="index 5"/>
    <w:basedOn w:val="Normale"/>
    <w:next w:val="Normale"/>
    <w:autoRedefine/>
    <w:uiPriority w:val="98"/>
    <w:semiHidden/>
    <w:rsid w:val="00804D68"/>
    <w:pPr>
      <w:ind w:left="1200" w:hanging="240"/>
    </w:pPr>
  </w:style>
  <w:style w:type="paragraph" w:styleId="Indice6">
    <w:name w:val="index 6"/>
    <w:basedOn w:val="Normale"/>
    <w:next w:val="Normale"/>
    <w:autoRedefine/>
    <w:uiPriority w:val="98"/>
    <w:semiHidden/>
    <w:rsid w:val="00804D68"/>
    <w:pPr>
      <w:ind w:left="1440" w:hanging="240"/>
    </w:pPr>
  </w:style>
  <w:style w:type="paragraph" w:styleId="Indice7">
    <w:name w:val="index 7"/>
    <w:basedOn w:val="Normale"/>
    <w:next w:val="Normale"/>
    <w:autoRedefine/>
    <w:uiPriority w:val="98"/>
    <w:semiHidden/>
    <w:rsid w:val="00804D68"/>
    <w:pPr>
      <w:ind w:left="1680" w:hanging="240"/>
    </w:pPr>
  </w:style>
  <w:style w:type="paragraph" w:styleId="Indice8">
    <w:name w:val="index 8"/>
    <w:basedOn w:val="Normale"/>
    <w:next w:val="Normale"/>
    <w:autoRedefine/>
    <w:uiPriority w:val="98"/>
    <w:semiHidden/>
    <w:rsid w:val="00804D68"/>
    <w:pPr>
      <w:ind w:left="1920" w:hanging="240"/>
    </w:pPr>
  </w:style>
  <w:style w:type="paragraph" w:styleId="Indice9">
    <w:name w:val="index 9"/>
    <w:basedOn w:val="Normale"/>
    <w:next w:val="Normale"/>
    <w:autoRedefine/>
    <w:uiPriority w:val="98"/>
    <w:semiHidden/>
    <w:rsid w:val="00804D68"/>
    <w:pPr>
      <w:ind w:left="2160" w:hanging="240"/>
    </w:pPr>
  </w:style>
  <w:style w:type="paragraph" w:styleId="Titoloindice">
    <w:name w:val="index heading"/>
    <w:basedOn w:val="Normale"/>
    <w:next w:val="Indice1"/>
    <w:uiPriority w:val="98"/>
    <w:semiHidden/>
    <w:rsid w:val="00804D68"/>
    <w:rPr>
      <w:rFonts w:asciiTheme="majorHAnsi" w:eastAsiaTheme="majorEastAsia" w:hAnsiTheme="majorHAnsi" w:cstheme="majorBidi"/>
      <w:b/>
      <w:bCs/>
    </w:rPr>
  </w:style>
  <w:style w:type="table" w:styleId="Grigliachiara">
    <w:name w:val="Light Grid"/>
    <w:basedOn w:val="Tabellanormale"/>
    <w:uiPriority w:val="62"/>
    <w:semiHidden/>
    <w:rsid w:val="00804D6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04D6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04D6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04D6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04D6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04D6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04D6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04D6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04D6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04D6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04D6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04D6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04D6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04D6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04D6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04D6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04D6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04D6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04D6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04D6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04D6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04D68"/>
  </w:style>
  <w:style w:type="paragraph" w:styleId="Elenco">
    <w:name w:val="List"/>
    <w:basedOn w:val="Normale"/>
    <w:uiPriority w:val="98"/>
    <w:semiHidden/>
    <w:rsid w:val="00804D68"/>
    <w:pPr>
      <w:ind w:left="283" w:hanging="283"/>
      <w:contextualSpacing/>
    </w:pPr>
  </w:style>
  <w:style w:type="paragraph" w:styleId="Elenco2">
    <w:name w:val="List 2"/>
    <w:basedOn w:val="Normale"/>
    <w:uiPriority w:val="98"/>
    <w:semiHidden/>
    <w:rsid w:val="00804D68"/>
    <w:pPr>
      <w:ind w:left="566" w:hanging="283"/>
      <w:contextualSpacing/>
    </w:pPr>
  </w:style>
  <w:style w:type="paragraph" w:styleId="Elenco3">
    <w:name w:val="List 3"/>
    <w:basedOn w:val="Normale"/>
    <w:uiPriority w:val="98"/>
    <w:semiHidden/>
    <w:rsid w:val="00804D68"/>
    <w:pPr>
      <w:ind w:left="849" w:hanging="283"/>
      <w:contextualSpacing/>
    </w:pPr>
  </w:style>
  <w:style w:type="paragraph" w:styleId="Elenco4">
    <w:name w:val="List 4"/>
    <w:basedOn w:val="Normale"/>
    <w:uiPriority w:val="98"/>
    <w:semiHidden/>
    <w:rsid w:val="00804D68"/>
    <w:pPr>
      <w:ind w:left="1132" w:hanging="283"/>
      <w:contextualSpacing/>
    </w:pPr>
  </w:style>
  <w:style w:type="paragraph" w:styleId="Elenco5">
    <w:name w:val="List 5"/>
    <w:basedOn w:val="Normale"/>
    <w:uiPriority w:val="98"/>
    <w:semiHidden/>
    <w:rsid w:val="00804D68"/>
    <w:pPr>
      <w:ind w:left="1415" w:hanging="283"/>
      <w:contextualSpacing/>
    </w:pPr>
  </w:style>
  <w:style w:type="paragraph" w:styleId="Puntoelenco">
    <w:name w:val="List Bullet"/>
    <w:basedOn w:val="Normale"/>
    <w:uiPriority w:val="98"/>
    <w:semiHidden/>
    <w:rsid w:val="00804D68"/>
    <w:pPr>
      <w:numPr>
        <w:numId w:val="4"/>
      </w:numPr>
    </w:pPr>
  </w:style>
  <w:style w:type="paragraph" w:styleId="Puntoelenco4">
    <w:name w:val="List Bullet 4"/>
    <w:basedOn w:val="Normale"/>
    <w:uiPriority w:val="98"/>
    <w:semiHidden/>
    <w:rsid w:val="00804D68"/>
    <w:pPr>
      <w:numPr>
        <w:numId w:val="7"/>
      </w:numPr>
      <w:contextualSpacing/>
    </w:pPr>
  </w:style>
  <w:style w:type="paragraph" w:styleId="Puntoelenco5">
    <w:name w:val="List Bullet 5"/>
    <w:basedOn w:val="Normale"/>
    <w:uiPriority w:val="98"/>
    <w:semiHidden/>
    <w:rsid w:val="00804D68"/>
    <w:pPr>
      <w:numPr>
        <w:numId w:val="8"/>
      </w:numPr>
      <w:contextualSpacing/>
    </w:pPr>
  </w:style>
  <w:style w:type="paragraph" w:styleId="Elencocontinua">
    <w:name w:val="List Continue"/>
    <w:basedOn w:val="Normale"/>
    <w:uiPriority w:val="98"/>
    <w:semiHidden/>
    <w:rsid w:val="00804D68"/>
    <w:pPr>
      <w:spacing w:after="120"/>
      <w:ind w:left="283"/>
      <w:contextualSpacing/>
    </w:pPr>
  </w:style>
  <w:style w:type="paragraph" w:styleId="Elencocontinua2">
    <w:name w:val="List Continue 2"/>
    <w:basedOn w:val="Normale"/>
    <w:uiPriority w:val="98"/>
    <w:semiHidden/>
    <w:rsid w:val="00804D68"/>
    <w:pPr>
      <w:spacing w:after="120"/>
      <w:ind w:left="566"/>
      <w:contextualSpacing/>
    </w:pPr>
  </w:style>
  <w:style w:type="paragraph" w:styleId="Elencocontinua3">
    <w:name w:val="List Continue 3"/>
    <w:basedOn w:val="Normale"/>
    <w:uiPriority w:val="98"/>
    <w:semiHidden/>
    <w:rsid w:val="00804D68"/>
    <w:pPr>
      <w:spacing w:after="120"/>
      <w:ind w:left="849"/>
      <w:contextualSpacing/>
    </w:pPr>
  </w:style>
  <w:style w:type="paragraph" w:styleId="Elencocontinua4">
    <w:name w:val="List Continue 4"/>
    <w:basedOn w:val="Normale"/>
    <w:uiPriority w:val="98"/>
    <w:semiHidden/>
    <w:rsid w:val="00804D68"/>
    <w:pPr>
      <w:spacing w:after="120"/>
      <w:ind w:left="1132"/>
      <w:contextualSpacing/>
    </w:pPr>
  </w:style>
  <w:style w:type="paragraph" w:styleId="Elencocontinua5">
    <w:name w:val="List Continue 5"/>
    <w:basedOn w:val="Normale"/>
    <w:uiPriority w:val="98"/>
    <w:semiHidden/>
    <w:rsid w:val="00804D68"/>
    <w:pPr>
      <w:spacing w:after="120"/>
      <w:ind w:left="1415"/>
      <w:contextualSpacing/>
    </w:pPr>
  </w:style>
  <w:style w:type="paragraph" w:styleId="Numeroelenco">
    <w:name w:val="List Number"/>
    <w:basedOn w:val="Normale"/>
    <w:uiPriority w:val="98"/>
    <w:semiHidden/>
    <w:rsid w:val="00804D68"/>
    <w:pPr>
      <w:numPr>
        <w:numId w:val="9"/>
      </w:numPr>
      <w:contextualSpacing/>
    </w:pPr>
  </w:style>
  <w:style w:type="paragraph" w:styleId="Numeroelenco2">
    <w:name w:val="List Number 2"/>
    <w:basedOn w:val="Normale"/>
    <w:uiPriority w:val="98"/>
    <w:semiHidden/>
    <w:rsid w:val="00804D68"/>
    <w:pPr>
      <w:numPr>
        <w:numId w:val="10"/>
      </w:numPr>
      <w:contextualSpacing/>
    </w:pPr>
  </w:style>
  <w:style w:type="paragraph" w:styleId="Numeroelenco3">
    <w:name w:val="List Number 3"/>
    <w:basedOn w:val="Normale"/>
    <w:uiPriority w:val="98"/>
    <w:semiHidden/>
    <w:rsid w:val="00804D68"/>
    <w:pPr>
      <w:numPr>
        <w:numId w:val="11"/>
      </w:numPr>
      <w:contextualSpacing/>
    </w:pPr>
  </w:style>
  <w:style w:type="paragraph" w:styleId="Numeroelenco4">
    <w:name w:val="List Number 4"/>
    <w:basedOn w:val="Normale"/>
    <w:uiPriority w:val="98"/>
    <w:semiHidden/>
    <w:rsid w:val="00804D68"/>
    <w:pPr>
      <w:numPr>
        <w:numId w:val="12"/>
      </w:numPr>
      <w:contextualSpacing/>
    </w:pPr>
  </w:style>
  <w:style w:type="paragraph" w:styleId="Numeroelenco5">
    <w:name w:val="List Number 5"/>
    <w:basedOn w:val="Normale"/>
    <w:uiPriority w:val="98"/>
    <w:semiHidden/>
    <w:rsid w:val="00804D68"/>
    <w:pPr>
      <w:numPr>
        <w:numId w:val="13"/>
      </w:numPr>
      <w:contextualSpacing/>
    </w:pPr>
  </w:style>
  <w:style w:type="paragraph" w:styleId="Testomacro">
    <w:name w:val="macro"/>
    <w:link w:val="TestomacroCarattere"/>
    <w:uiPriority w:val="98"/>
    <w:semiHidden/>
    <w:rsid w:val="00804D6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04D68"/>
    <w:rPr>
      <w:rFonts w:ascii="Consolas" w:eastAsiaTheme="minorEastAsia" w:hAnsi="Consolas" w:cs="Consolas"/>
      <w:sz w:val="20"/>
      <w:szCs w:val="20"/>
    </w:rPr>
  </w:style>
  <w:style w:type="table" w:styleId="Grigliamedia1">
    <w:name w:val="Medium Grid 1"/>
    <w:basedOn w:val="Tabellanormale"/>
    <w:uiPriority w:val="67"/>
    <w:semiHidden/>
    <w:rsid w:val="00804D6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04D6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04D6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04D6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04D6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04D6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04D6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04D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04D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04D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04D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04D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04D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04D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04D6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04D6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04D6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04D6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04D6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04D6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04D6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04D6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04D6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04D6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04D6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04D6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04D6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04D6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04D6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04D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04D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04D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04D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04D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04D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04D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04D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04D68"/>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04D68"/>
    <w:rPr>
      <w:rFonts w:ascii="Times New Roman" w:hAnsi="Times New Roman" w:cs="Times New Roman"/>
    </w:rPr>
  </w:style>
  <w:style w:type="paragraph" w:styleId="Rientronormale">
    <w:name w:val="Normal Indent"/>
    <w:basedOn w:val="Normale"/>
    <w:uiPriority w:val="98"/>
    <w:semiHidden/>
    <w:rsid w:val="00804D68"/>
    <w:pPr>
      <w:ind w:left="720"/>
    </w:pPr>
  </w:style>
  <w:style w:type="paragraph" w:styleId="Intestazionenota">
    <w:name w:val="Note Heading"/>
    <w:basedOn w:val="Normale"/>
    <w:next w:val="Normale"/>
    <w:link w:val="IntestazionenotaCarattere"/>
    <w:uiPriority w:val="98"/>
    <w:semiHidden/>
    <w:rsid w:val="00804D68"/>
  </w:style>
  <w:style w:type="character" w:customStyle="1" w:styleId="IntestazionenotaCarattere">
    <w:name w:val="Intestazione nota Carattere"/>
    <w:basedOn w:val="Carpredefinitoparagrafo"/>
    <w:link w:val="Intestazionenota"/>
    <w:uiPriority w:val="98"/>
    <w:semiHidden/>
    <w:rsid w:val="00804D68"/>
    <w:rPr>
      <w:sz w:val="24"/>
      <w:szCs w:val="24"/>
      <w:lang w:val="fr-FR"/>
    </w:rPr>
  </w:style>
  <w:style w:type="character" w:styleId="Testosegnaposto">
    <w:name w:val="Placeholder Text"/>
    <w:basedOn w:val="Carpredefinitoparagrafo"/>
    <w:uiPriority w:val="98"/>
    <w:semiHidden/>
    <w:rsid w:val="00804D6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04D6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04D68"/>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04D68"/>
  </w:style>
  <w:style w:type="character" w:customStyle="1" w:styleId="FormuladiaperturaCarattere">
    <w:name w:val="Formula di apertura Carattere"/>
    <w:basedOn w:val="Carpredefinitoparagrafo"/>
    <w:link w:val="Formuladiapertura"/>
    <w:uiPriority w:val="98"/>
    <w:semiHidden/>
    <w:rsid w:val="00804D68"/>
    <w:rPr>
      <w:sz w:val="24"/>
      <w:szCs w:val="24"/>
      <w:lang w:val="fr-FR"/>
    </w:rPr>
  </w:style>
  <w:style w:type="paragraph" w:styleId="Firma">
    <w:name w:val="Signature"/>
    <w:basedOn w:val="Normale"/>
    <w:link w:val="FirmaCarattere"/>
    <w:uiPriority w:val="98"/>
    <w:semiHidden/>
    <w:rsid w:val="00804D68"/>
    <w:pPr>
      <w:ind w:left="4252"/>
    </w:pPr>
  </w:style>
  <w:style w:type="character" w:customStyle="1" w:styleId="FirmaCarattere">
    <w:name w:val="Firma Carattere"/>
    <w:basedOn w:val="Carpredefinitoparagrafo"/>
    <w:link w:val="Firma"/>
    <w:uiPriority w:val="98"/>
    <w:semiHidden/>
    <w:rsid w:val="00804D68"/>
    <w:rPr>
      <w:sz w:val="24"/>
      <w:szCs w:val="24"/>
      <w:lang w:val="fr-FR"/>
    </w:rPr>
  </w:style>
  <w:style w:type="table" w:styleId="Tabellaeffetti3D1">
    <w:name w:val="Table 3D effects 1"/>
    <w:basedOn w:val="Tabellanormale"/>
    <w:uiPriority w:val="99"/>
    <w:semiHidden/>
    <w:unhideWhenUsed/>
    <w:rsid w:val="00804D6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04D6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04D6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04D6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04D6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04D6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04D6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04D6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04D6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04D6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04D6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04D6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04D6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04D6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04D6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04D6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04D6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04D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04D6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04D6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04D6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04D6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04D6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04D6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04D6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04D6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04D6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04D6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04D6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04D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04D6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04D6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04D6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04D68"/>
    <w:pPr>
      <w:ind w:left="240" w:hanging="240"/>
    </w:pPr>
  </w:style>
  <w:style w:type="paragraph" w:styleId="Indicedellefigure">
    <w:name w:val="table of figures"/>
    <w:basedOn w:val="Normale"/>
    <w:next w:val="Normale"/>
    <w:uiPriority w:val="98"/>
    <w:semiHidden/>
    <w:rsid w:val="00804D68"/>
  </w:style>
  <w:style w:type="table" w:styleId="Tabellaprofessionale">
    <w:name w:val="Table Professional"/>
    <w:basedOn w:val="Tabellanormale"/>
    <w:uiPriority w:val="99"/>
    <w:semiHidden/>
    <w:unhideWhenUsed/>
    <w:rsid w:val="00804D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04D6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04D6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04D6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04D6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04D6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04D6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04D6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04D6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04D6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04D6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04D6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04D68"/>
    <w:pPr>
      <w:spacing w:after="100"/>
      <w:ind w:left="1680"/>
    </w:pPr>
  </w:style>
  <w:style w:type="paragraph" w:styleId="Sommario9">
    <w:name w:val="toc 9"/>
    <w:basedOn w:val="Normale"/>
    <w:next w:val="Normale"/>
    <w:autoRedefine/>
    <w:uiPriority w:val="98"/>
    <w:semiHidden/>
    <w:rsid w:val="00804D68"/>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804D68"/>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804D68"/>
    <w:pPr>
      <w:numPr>
        <w:ilvl w:val="1"/>
      </w:numPr>
    </w:pPr>
  </w:style>
  <w:style w:type="paragraph" w:customStyle="1" w:styleId="ECHRBullet3">
    <w:name w:val="ECHR_Bullet_3"/>
    <w:aliases w:val="_Bul_3"/>
    <w:basedOn w:val="ECHRBullet2"/>
    <w:uiPriority w:val="23"/>
    <w:semiHidden/>
    <w:rsid w:val="00804D68"/>
    <w:pPr>
      <w:numPr>
        <w:ilvl w:val="2"/>
      </w:numPr>
    </w:pPr>
  </w:style>
  <w:style w:type="paragraph" w:customStyle="1" w:styleId="ECHRBullet4">
    <w:name w:val="ECHR_Bullet_4"/>
    <w:aliases w:val="_Bul_4"/>
    <w:basedOn w:val="ECHRBullet3"/>
    <w:uiPriority w:val="23"/>
    <w:semiHidden/>
    <w:rsid w:val="00804D68"/>
    <w:pPr>
      <w:numPr>
        <w:ilvl w:val="3"/>
      </w:numPr>
    </w:pPr>
  </w:style>
  <w:style w:type="paragraph" w:customStyle="1" w:styleId="ECHRConfidential">
    <w:name w:val="ECHR_Confidential"/>
    <w:aliases w:val="_Confidential"/>
    <w:basedOn w:val="Normale"/>
    <w:next w:val="Normale"/>
    <w:uiPriority w:val="42"/>
    <w:semiHidden/>
    <w:qFormat/>
    <w:rsid w:val="00804D68"/>
    <w:pPr>
      <w:jc w:val="right"/>
    </w:pPr>
    <w:rPr>
      <w:color w:val="C00000"/>
      <w:sz w:val="20"/>
    </w:rPr>
  </w:style>
  <w:style w:type="paragraph" w:customStyle="1" w:styleId="ECHRDecisionBody">
    <w:name w:val="ECHR_Decision_Body"/>
    <w:aliases w:val="_Decision_Body"/>
    <w:basedOn w:val="NormalJustified"/>
    <w:uiPriority w:val="54"/>
    <w:semiHidden/>
    <w:rsid w:val="00804D6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04D6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04D68"/>
    <w:rPr>
      <w:rFonts w:ascii="Arial" w:hAnsi="Arial"/>
      <w:i/>
      <w:color w:val="002856"/>
      <w:sz w:val="32"/>
      <w:szCs w:val="24"/>
      <w:lang w:val="fr-FR"/>
    </w:rPr>
  </w:style>
  <w:style w:type="paragraph" w:customStyle="1" w:styleId="DummyStyle">
    <w:name w:val="Dummy_Style"/>
    <w:aliases w:val="_Dummy"/>
    <w:basedOn w:val="Normale"/>
    <w:semiHidden/>
    <w:qFormat/>
    <w:rsid w:val="00804D68"/>
    <w:rPr>
      <w:color w:val="00B050"/>
      <w:sz w:val="22"/>
    </w:rPr>
  </w:style>
  <w:style w:type="paragraph" w:customStyle="1" w:styleId="ECHRFooterLineLandscape">
    <w:name w:val="ECHR_Footer_Line_Landscape"/>
    <w:aliases w:val="_Footer_Line_Landscape"/>
    <w:basedOn w:val="Normale"/>
    <w:uiPriority w:val="29"/>
    <w:semiHidden/>
    <w:rsid w:val="00804D6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804D68"/>
    <w:pPr>
      <w:ind w:left="567" w:hanging="567"/>
    </w:pPr>
  </w:style>
  <w:style w:type="paragraph" w:customStyle="1" w:styleId="ECHRHeading9">
    <w:name w:val="ECHR_Heading_9"/>
    <w:aliases w:val="_Head_9"/>
    <w:basedOn w:val="Titolo9"/>
    <w:uiPriority w:val="17"/>
    <w:semiHidden/>
    <w:rsid w:val="00804D68"/>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804D68"/>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804D68"/>
    <w:pPr>
      <w:spacing w:before="120" w:after="120"/>
      <w:ind w:left="567"/>
    </w:pPr>
  </w:style>
  <w:style w:type="paragraph" w:customStyle="1" w:styleId="ECHRLine">
    <w:name w:val="ECHR_Line"/>
    <w:aliases w:val="_Line"/>
    <w:basedOn w:val="NormalJustified"/>
    <w:next w:val="Normale"/>
    <w:uiPriority w:val="46"/>
    <w:semiHidden/>
    <w:rsid w:val="00804D6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804D68"/>
    <w:pPr>
      <w:numPr>
        <w:numId w:val="0"/>
      </w:numPr>
      <w:ind w:left="284"/>
    </w:pPr>
  </w:style>
  <w:style w:type="paragraph" w:customStyle="1" w:styleId="ECHRNumberedList1">
    <w:name w:val="ECHR_Numbered_List_1"/>
    <w:aliases w:val="_Num_1"/>
    <w:basedOn w:val="NormalJustified"/>
    <w:uiPriority w:val="23"/>
    <w:semiHidden/>
    <w:qFormat/>
    <w:rsid w:val="00804D68"/>
    <w:pPr>
      <w:numPr>
        <w:numId w:val="17"/>
      </w:numPr>
      <w:spacing w:before="60" w:after="60"/>
    </w:pPr>
  </w:style>
  <w:style w:type="paragraph" w:customStyle="1" w:styleId="ECHRNumberedList2">
    <w:name w:val="ECHR_Numbered_List_2"/>
    <w:aliases w:val="_Num_2"/>
    <w:basedOn w:val="ECHRNumberedList1"/>
    <w:uiPriority w:val="23"/>
    <w:semiHidden/>
    <w:rsid w:val="00804D68"/>
    <w:pPr>
      <w:numPr>
        <w:ilvl w:val="1"/>
      </w:numPr>
    </w:pPr>
  </w:style>
  <w:style w:type="paragraph" w:customStyle="1" w:styleId="ECHRNumberedList3">
    <w:name w:val="ECHR_Numbered_List_3"/>
    <w:aliases w:val="_Num_3"/>
    <w:basedOn w:val="ECHRNumberedList2"/>
    <w:uiPriority w:val="23"/>
    <w:semiHidden/>
    <w:rsid w:val="00804D68"/>
    <w:pPr>
      <w:numPr>
        <w:ilvl w:val="2"/>
      </w:numPr>
    </w:pPr>
  </w:style>
  <w:style w:type="paragraph" w:customStyle="1" w:styleId="ECHRPlaceholder">
    <w:name w:val="ECHR_Placeholder"/>
    <w:aliases w:val="_Placeholder"/>
    <w:basedOn w:val="JuSigned"/>
    <w:uiPriority w:val="31"/>
    <w:rsid w:val="00804D68"/>
    <w:rPr>
      <w:color w:val="FFFFFF"/>
    </w:rPr>
  </w:style>
  <w:style w:type="character" w:customStyle="1" w:styleId="ECHRRed">
    <w:name w:val="ECHR_Red"/>
    <w:aliases w:val="_Red"/>
    <w:basedOn w:val="Carpredefinitoparagrafo"/>
    <w:uiPriority w:val="15"/>
    <w:semiHidden/>
    <w:qFormat/>
    <w:rsid w:val="00804D68"/>
    <w:rPr>
      <w:color w:val="C00000" w:themeColor="accent2"/>
    </w:rPr>
  </w:style>
  <w:style w:type="paragraph" w:customStyle="1" w:styleId="ECHRHeaderDate">
    <w:name w:val="ECHR_Header_Date"/>
    <w:aliases w:val="_Ref_Date"/>
    <w:basedOn w:val="Normale"/>
    <w:uiPriority w:val="44"/>
    <w:semiHidden/>
    <w:qFormat/>
    <w:rsid w:val="00804D68"/>
    <w:pPr>
      <w:jc w:val="right"/>
    </w:pPr>
    <w:rPr>
      <w:sz w:val="20"/>
    </w:rPr>
  </w:style>
  <w:style w:type="paragraph" w:customStyle="1" w:styleId="ECHRHeaderRefIt">
    <w:name w:val="ECHR_Header_Ref_It"/>
    <w:aliases w:val="_Ref_Ital"/>
    <w:basedOn w:val="Normale"/>
    <w:next w:val="ECHRHeaderDate"/>
    <w:uiPriority w:val="43"/>
    <w:semiHidden/>
    <w:qFormat/>
    <w:rsid w:val="00804D68"/>
    <w:pPr>
      <w:jc w:val="right"/>
    </w:pPr>
    <w:rPr>
      <w:i/>
      <w:sz w:val="20"/>
    </w:rPr>
  </w:style>
  <w:style w:type="paragraph" w:customStyle="1" w:styleId="ECHRSpacer">
    <w:name w:val="ECHR_Spacer"/>
    <w:aliases w:val="_Spacer"/>
    <w:basedOn w:val="Normale"/>
    <w:uiPriority w:val="45"/>
    <w:semiHidden/>
    <w:rsid w:val="00804D68"/>
    <w:rPr>
      <w:sz w:val="4"/>
    </w:rPr>
  </w:style>
  <w:style w:type="paragraph" w:customStyle="1" w:styleId="ECHRTitleCentre1">
    <w:name w:val="ECHR_Title_Centre_1"/>
    <w:aliases w:val="_Title_C_1"/>
    <w:basedOn w:val="Normale"/>
    <w:next w:val="Normale"/>
    <w:uiPriority w:val="26"/>
    <w:semiHidden/>
    <w:qFormat/>
    <w:rsid w:val="00804D6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04D6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04D6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04D68"/>
    <w:pPr>
      <w:outlineLvl w:val="0"/>
    </w:pPr>
  </w:style>
  <w:style w:type="paragraph" w:customStyle="1" w:styleId="ECHRTitle1">
    <w:name w:val="ECHR_Title_1"/>
    <w:aliases w:val="_Title_L_1"/>
    <w:basedOn w:val="Normale"/>
    <w:next w:val="Normale"/>
    <w:uiPriority w:val="28"/>
    <w:semiHidden/>
    <w:qFormat/>
    <w:rsid w:val="00804D6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04D6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04D6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04D68"/>
    <w:pPr>
      <w:outlineLvl w:val="0"/>
    </w:pPr>
  </w:style>
  <w:style w:type="table" w:customStyle="1" w:styleId="ECHRTable2">
    <w:name w:val="ECHR_Table_2"/>
    <w:basedOn w:val="Tabellanormale"/>
    <w:uiPriority w:val="99"/>
    <w:rsid w:val="00804D6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04D6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804D6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ED1A94"/>
    <w:rPr>
      <w:sz w:val="24"/>
      <w:szCs w:val="24"/>
      <w:lang w:val="fr-FR"/>
    </w:rPr>
  </w:style>
  <w:style w:type="table" w:styleId="Tabellagriglia1chiara">
    <w:name w:val="Grid Table 1 Light"/>
    <w:basedOn w:val="Tabellanormale"/>
    <w:uiPriority w:val="46"/>
    <w:semiHidden/>
    <w:rsid w:val="00804D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04D6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04D6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04D6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04D6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04D6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04D6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04D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04D6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04D6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04D6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04D6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04D6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04D6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04D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04D6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04D6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04D6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04D6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04D6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04D6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04D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04D6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04D6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04D6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04D6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04D6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04D6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04D6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04D6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04D6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04D6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04D6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04D6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04D6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04D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04D6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04D6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04D6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04D6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04D6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04D6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04D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04D6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04D6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04D6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04D6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04D6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04D6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04D68"/>
    <w:rPr>
      <w:color w:val="2B579A"/>
      <w:shd w:val="clear" w:color="auto" w:fill="E1DFDD"/>
    </w:rPr>
  </w:style>
  <w:style w:type="table" w:styleId="Tabellaelenco1chiara">
    <w:name w:val="List Table 1 Light"/>
    <w:basedOn w:val="Tabellanormale"/>
    <w:uiPriority w:val="46"/>
    <w:semiHidden/>
    <w:rsid w:val="00804D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04D6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04D6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04D6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04D6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04D6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04D6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04D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04D6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04D6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04D6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04D6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04D6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04D6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04D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04D6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04D6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04D6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04D6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04D6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04D6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04D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04D6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04D6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04D6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04D6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04D6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04D6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04D6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04D6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04D6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04D6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04D6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04D6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04D6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04D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04D6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04D6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04D6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04D6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04D6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04D6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04D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04D6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04D6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04D6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04D6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04D6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04D6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04D68"/>
    <w:rPr>
      <w:color w:val="2B579A"/>
      <w:shd w:val="clear" w:color="auto" w:fill="E1DFDD"/>
    </w:rPr>
  </w:style>
  <w:style w:type="table" w:styleId="Tabellasemplice-1">
    <w:name w:val="Plain Table 1"/>
    <w:basedOn w:val="Tabellanormale"/>
    <w:uiPriority w:val="41"/>
    <w:semiHidden/>
    <w:rsid w:val="00804D6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04D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04D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04D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04D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04D68"/>
    <w:rPr>
      <w:u w:val="dotted"/>
    </w:rPr>
  </w:style>
  <w:style w:type="character" w:customStyle="1" w:styleId="SmartLink">
    <w:name w:val="Smart Link"/>
    <w:basedOn w:val="Carpredefinitoparagrafo"/>
    <w:uiPriority w:val="99"/>
    <w:semiHidden/>
    <w:unhideWhenUsed/>
    <w:rsid w:val="00804D68"/>
    <w:rPr>
      <w:color w:val="0000FF"/>
      <w:u w:val="single"/>
      <w:shd w:val="clear" w:color="auto" w:fill="F3F2F1"/>
    </w:rPr>
  </w:style>
  <w:style w:type="table" w:styleId="Grigliatabellachiara">
    <w:name w:val="Grid Table Light"/>
    <w:basedOn w:val="Tabellanormale"/>
    <w:uiPriority w:val="40"/>
    <w:semiHidden/>
    <w:rsid w:val="00804D6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80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7A27-7919-440D-BCF7-CD42D97AC163}">
  <ds:schemaRefs>
    <ds:schemaRef ds:uri="http://schemas.microsoft.com/sharepoint/v3/contenttype/forms"/>
  </ds:schemaRefs>
</ds:datastoreItem>
</file>

<file path=customXml/itemProps2.xml><?xml version="1.0" encoding="utf-8"?>
<ds:datastoreItem xmlns:ds="http://schemas.openxmlformats.org/officeDocument/2006/customXml" ds:itemID="{6DD3BD1A-475E-4D31-A9A7-E7E56AB5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1F6FAF-8212-4CBD-AC12-39D6663A0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D0BC0-29BA-45F5-9E4B-E0998199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2986</Words>
  <Characters>17021</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2023-07-06T07:11:00Z</dcterms:created>
  <dcterms:modified xsi:type="dcterms:W3CDTF">2023-07-06T07:11:00Z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59054/19</vt:lpwstr>
  </property>
  <property fmtid="{D5CDD505-2E9C-101B-9397-08002B2CF9AE}" pid="4" name="CASEID">
    <vt:lpwstr>1497065</vt:lpwstr>
  </property>
  <property fmtid="{D5CDD505-2E9C-101B-9397-08002B2CF9AE}" pid="5" name="ContentTypeId">
    <vt:lpwstr>0x010100558EB02BDB9E204AB350EDD385B68E10</vt:lpwstr>
  </property>
</Properties>
</file>